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A Step-by-Step Guide</w:t>
      </w:r>
    </w:p>
    <w:p/>
    <w:p>
      <w:r>
        <w:t>The pricing review process for a product submission begins with the retrieval of all sales transactions associated with the product during the last twelve months. This information is crucial in understanding how the product has performed across different customer segments and identifying patterns that may influence future pricing decisions.</w:t>
      </w:r>
    </w:p>
    <w:p/>
    <w:p>
      <w:r>
        <w:t>To initiate this step, our system receives an incoming request containing relevant data such as transaction dates, quantities sold, and revenue amounts. Upon receipt of this data, our system triggers a query to retrieve all sales transactions for the specified product period from our database.</w:t>
      </w:r>
    </w:p>
    <w:p/>
    <w:p>
      <w:r>
        <w:t>Once the necessary data is retrieved, it is analyzed to ensure that no duplicate or erroneous records exist in the system. This validation step prevents any potential inaccuracies that may arise from incomplete or inconsistent data.</w:t>
      </w:r>
    </w:p>
    <w:p/>
    <w:p>
      <w:r>
        <w:t>Following the retrieval of relevant transaction data, we proceed to evaluate each record independently based on customer segment. Each group is assessed individually so that performance metrics can be calculated without mixing results from unrelated customer groups.</w:t>
      </w:r>
    </w:p>
    <w:p/>
    <w:p>
      <w:r>
        <w:t>To determine the validity and consistency of these transactions, our system performs a series of calculations. It identifies patterns in sales trends across different segments and evaluates any notable anomalies or outliers present within these datasets.</w:t>
      </w:r>
    </w:p>
    <w:p/>
    <w:p>
      <w:r>
        <w:t>The process also takes into account the historical performance data of each product segment to provide an informed analysis. This involves comparing sales metrics such as revenue, profit, and market share among various customer groups.</w:t>
      </w:r>
    </w:p>
    <w:p/>
    <w:p>
      <w:r>
        <w:t>Next, we determine the overall performance threshold for each product segment. If the actual data meets or exceeds this threshold, it is considered satisfactory. Otherwise, further investigation is required.</w:t>
      </w:r>
    </w:p>
    <w:p/>
    <w:p>
      <w:r>
        <w:t>Once all transaction records have been evaluated and the necessary calculations performed, our system proceeds to evaluate which of the retrieved candidates meet the specified requirements.</w:t>
      </w:r>
    </w:p>
    <w:p/>
    <w:p>
      <w:r>
        <w:t>We begin by comparing the engine models associated with each candidate configuration. If a mismatch occurs, we reject the entire set of candidate configurations. The decision to invoke additional analysis for further validation is made based on whether a single variation in the model constitutes an exception.</w:t>
      </w:r>
    </w:p>
    <w:p/>
    <w:p>
      <w:r>
        <w:t>If all candidate configurations pass this initial evaluation, we proceed with assessing their displacement values. To do so, our system calculates the difference between the maximum and minimum values among these displacements. We apply a threshold of four liters to determine if such differences are deemed significant enough to warrant further scrutiny.</w:t>
      </w:r>
    </w:p>
    <w:p/>
    <w:p>
      <w:r>
        <w:t>For each configuration that satisfies both model consistency and displacement value checks, we use its corresponding ranking from the initial set to select the highest-ranked candidate for further processing.</w:t>
      </w:r>
    </w:p>
    <w:p/>
    <w:p>
      <w:r>
        <w:t>Once the highest-ranked configuration is selected, our system retrieves all associated attributes linked with this design.</w:t>
      </w:r>
    </w:p>
    <w:p/>
    <w:p>
      <w:r>
        <w:t>Next, we use the retrieval of key information to update the records accordingly. The target part record receives a complete overhaul based on this retrieved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