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process to review pricing configurations begins by retrieving all sales transactions associated with the product during the last twelve months. The purpose of retrieving these transactions is to understand how the product has performed across different customer segments and to identify patterns that may influence future pricing decisions.</w:t>
      </w:r>
    </w:p>
    <w:p/>
    <w:p>
      <w:r>
        <w:t>To accomplish this, our system will send a request to the Sales Transactions Service to retrieve the necessary data. The request will include criteria such as start date (the beginning of the last twelve months), end date (the end of the last twelve months), product ID, and any other relevant filter parameters.</w:t>
      </w:r>
    </w:p>
    <w:p/>
    <w:p>
      <w:r>
        <w:t>Once the transactions have been retrieved from the sales transactions service, they are stored in a temporary storage area for processing. The system then groups these records by customer segment so that performance metrics can be calculated without mixing results from unrelated customer groups. This is essential to ensure that each set of data is evaluated independently and consistently.</w:t>
      </w:r>
    </w:p>
    <w:p/>
    <w:p>
      <w:r>
        <w:t>The grouped records are then passed through a series of pre-defined calculations to extract relevant information, such as average revenue per unit, total sales volume, and market share. These calculations provide valuable insights into the product's performance across different customer segments.</w:t>
      </w:r>
    </w:p>
    <w:p/>
    <w:p>
      <w:r>
        <w:t>Next, we evaluate the records against predefined thresholds that define acceptable levels of performance. For example, if the product has failed to meet its monthly sales targets for several consecutive months, it may trigger a re-evaluation of the pricing configuration. Our system will use these thresholds to identify areas where adjustments are needed and make recommendations accordingly.</w:t>
      </w:r>
    </w:p>
    <w:p/>
    <w:p>
      <w:r>
        <w:t>When evaluating the records, our system also performs calculations to determine the optimal pricing configuration based on the performance metrics extracted earlier. This involves analyzing data from multiple sources, such as sales transactions, market research, and competitor analysis. The goal is to select the pricing configuration that best aligns with business objectives while minimizing risks associated with under or over-pricing.</w:t>
      </w:r>
    </w:p>
    <w:p/>
    <w:p>
      <w:r>
        <w:t>Once we have identified the most suitable pricing configuration, our system will verify that it meets all applicable regulatory requirements and industry standards. This ensures compliance with relevant laws and regulations while maintaining competitive positioning in the market.</w:t>
      </w:r>
    </w:p>
    <w:p/>
    <w:p>
      <w:r>
        <w:t>If the verification process succeeds, the chosen pricing configuration is used to update part attributes associated with the selected product. These updates include setting prices for various product lines, configuring production schedules, and determining inventory levels. Our system will also send notifications to relevant stakeholders, such as sales teams and supply chain partners, once the updates have been made.</w:t>
      </w:r>
    </w:p>
    <w:p/>
    <w:p>
      <w:r>
        <w:t>Our process stops here, and processing is complete.</w:t>
      </w:r>
    </w:p>
    <w:p/>
    <w:p>
      <w:r>
        <w:t>However, we must note that if any of the predefined thresholds are not met or calculations indicate a need for further analysis, our system may invoke additional services, such as the Criteria 3 service. This allows us to gather more detailed information or seek external expertise before making final recommendations.</w:t>
      </w:r>
    </w:p>
    <w:p/>
    <w:p>
      <w:r>
        <w:t>By following this process, our pricing consultant can ensure that all necessary data is evaluated consistently and that optimal pricing decisions are made while maintaining compliance with relevant regulations.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