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by receiving an incoming request containing three top candidate design configurations that have been ranked previously. The purpose of this process is to verify that these candidates are sufficiently aligned before populating part attributes.</w:t>
      </w:r>
    </w:p>
    <w:p/>
    <w:p>
      <w:r>
        <w:t>Upon reception, the system retrieves a list of all previous rankings for each configuration from a designated repository. This information is essential for understanding how each configuration has performed in the past and identifying patterns that may influence future decisions.</w:t>
      </w:r>
    </w:p>
    <w:p/>
    <w:p>
      <w:r>
        <w:t>Once the list of previous rankings has been retrieved, the system evaluates each candidate configuration individually to ensure that they are sufficiently aligned. The alignment evaluation involves two primary steps: verification of engine model values and calculation of displacement value differences.</w:t>
      </w:r>
    </w:p>
    <w:p/>
    <w:p>
      <w:r>
        <w:t>The first step in the alignment evaluation requires verifying that all engine model values for each configuration are identical. This ensures that the performance metrics being analyzed are comparable across different configurations. If even one configuration has a different engine model, the candidates should not be considered equivalent, as this would introduce inconsistencies in the analysis results.</w:t>
      </w:r>
    </w:p>
    <w:p/>
    <w:p>
      <w:r>
        <w:t>To verify the engine model values, the system performs an identical retrieval of these values from the repository. The retrieved values are then compared to ensure they match exactly. If any difference is found, the validation fails, and further analysis is required.</w:t>
      </w:r>
    </w:p>
    <w:p/>
    <w:p>
      <w:r>
        <w:t>The second step in the alignment evaluation involves calculating the displacement value differences for each configuration. This calculation requires retrieving the maximum and minimum displacement values associated with each configuration and then finding their difference. The displacement values are calculated by subtracting the minimum displacement from the maximum displacement.</w:t>
      </w:r>
    </w:p>
    <w:p/>
    <w:p>
      <w:r>
        <w:t>To determine if the candidates are sufficiently aligned, the system applies a threshold of four liters to this displacement value difference. If the difference is less than four liters, the validation succeeds, indicating that the configurations have similar performance characteristics in terms of engine displacement. However, if the difference exceeds four liters, the validation fails, and additional analysis is required.</w:t>
      </w:r>
    </w:p>
    <w:p/>
    <w:p>
      <w:r>
        <w:t>When validation succeeds, the system uses the highest-ranked configuration from the incoming list to update the target part record using a provided request UUID. This step involves retrieving all relevant attributes associated with the selected configuration from a designated repository and updating the corresponding fields in the part record.</w:t>
      </w:r>
    </w:p>
    <w:p/>
    <w:p>
      <w:r>
        <w:t>In addition to this primary process, the system also invokes the Criteria 3 service upon failure of the initial validation or when further analysis is required due to discrepancies between engine model values or displacement value differences. The Criteria 3 service provides additional insights and recommendations for resolving these issues, ensuring that the final decision regarding configuration alignment is informed.</w:t>
      </w:r>
    </w:p>
    <w:p/>
    <w:p>
      <w:r>
        <w:t>Upon completion of this process, the system stops processing, as the decision regarding configuration alignment has been reached.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