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the submitted product begins with retrieving all sales transactions associated with the product during the last twelve months. This information is essential to understand how the product has performed across different customer segments and to identify patterns that may influence future pricing decisions.</w:t>
      </w:r>
    </w:p>
    <w:p/>
    <w:p>
      <w:r>
        <w:t>To initiate this process, we receive a request for a pricing review, which includes relevant details such as the product ID, transaction date range, and any specific requirements or constraints. Our system retrieves all sales transactions matching these criteria from our database, including but not limited to customer segment data, product variant information, and price history.</w:t>
      </w:r>
    </w:p>
    <w:p/>
    <w:p>
      <w:r>
        <w:t>Once the transactions have been retrieved, we group them by customer segment to ensure that performance metrics can be calculated independently without mixing results from unrelated customer groups. Each segment is evaluated separately to facilitate accurate analysis and decision-making.</w:t>
      </w:r>
    </w:p>
    <w:p/>
    <w:p>
      <w:r>
        <w:t>Next, we evaluate each transaction record against a set of predefined conditions, including but not limited to:</w:t>
      </w:r>
    </w:p>
    <w:p/>
    <w:p>
      <w:r>
        <w:t>1.  Total sales amount must be greater than zero.</w:t>
      </w:r>
    </w:p>
    <w:p>
      <w:r>
        <w:t>2.  Product variants must have valid pricing information.</w:t>
      </w:r>
    </w:p>
    <w:p>
      <w:r>
        <w:t>3.  Customer segments must be active.</w:t>
      </w:r>
    </w:p>
    <w:p/>
    <w:p>
      <w:r>
        <w:t>If any of these conditions are not met, the transaction is flagged for further review and may require manual intervention or deferment from the current process flow.</w:t>
      </w:r>
    </w:p>
    <w:p/>
    <w:p>
      <w:r>
        <w:t>We also calculate a range of values across all transactions within each customer segment to identify trends and patterns in sales behavior. This includes calculating metrics such as:</w:t>
      </w:r>
    </w:p>
    <w:p/>
    <w:p>
      <w:r>
        <w:t>*   Average transaction value (ATV)</w:t>
      </w:r>
    </w:p>
    <w:p>
      <w:r>
        <w:t>*   Total revenue generated</w:t>
      </w:r>
    </w:p>
    <w:p>
      <w:r>
        <w:t>*   Product variants sold</w:t>
      </w:r>
    </w:p>
    <w:p/>
    <w:p>
      <w:r>
        <w:t>These calculations help us understand how the product is performing in different market segments and inform pricing decisions.</w:t>
      </w:r>
    </w:p>
    <w:p/>
    <w:p>
      <w:r>
        <w:t>To proceed with the pricing review, we apply a set of predefined thresholds to evaluate the performance of each customer segment. These thresholds include but are not limited to:</w:t>
      </w:r>
    </w:p>
    <w:p/>
    <w:p>
      <w:r>
        <w:t>*   Minimum average transaction value (ATV) threshold</w:t>
      </w:r>
    </w:p>
    <w:p>
      <w:r>
        <w:t>*   Maximum price variance threshold</w:t>
      </w:r>
    </w:p>
    <w:p>
      <w:r>
        <w:t>*   Minimum revenue growth rate threshold</w:t>
      </w:r>
    </w:p>
    <w:p/>
    <w:p>
      <w:r>
        <w:t>If any of these thresholds are exceeded or met, it indicates that the product is performing well in a particular market segment and can inform future pricing decisions.</w:t>
      </w:r>
    </w:p>
    <w:p/>
    <w:p>
      <w:r>
        <w:t>Now, we need to identify the top-performing customer segments. We use a formula to rank each segment based on their performance metrics calculated earlier.</w:t>
      </w:r>
    </w:p>
    <w:p/>
    <w:p>
      <w:r>
        <w:t>To avoid any discrepancies in the ranking results, we apply a set of rules to ensure that all calculations are performed consistently across different customer segments. These rules include but are not limited to:</w:t>
      </w:r>
    </w:p>
    <w:p/>
    <w:p>
      <w:r>
        <w:t>*   Average transaction value (ATV) must be greater than zero</w:t>
      </w:r>
    </w:p>
    <w:p>
      <w:r>
        <w:t>*   Total revenue generated must be positive</w:t>
      </w:r>
    </w:p>
    <w:p/>
    <w:p>
      <w:r>
        <w:t>If these rules are not met, it indicates that the product is underperforming in a particular market segment and may require additional analysis or support.</w:t>
      </w:r>
    </w:p>
    <w:p/>
    <w:p>
      <w:r>
        <w:t>Once we have identified the top-performing customer segments, we use their performance metrics to determine the pricing adjustments needed for each configuration. We apply a set of predefined formulas to calculate the price adjustment amounts based on factors such as revenue growth rate, ATV, and total sales amount.</w:t>
      </w:r>
    </w:p>
    <w:p/>
    <w:p>
      <w:r>
        <w:t>These calculations are performed while taking into account any applicable discounts or promotions that may be triggered by customer segment activity.</w:t>
      </w:r>
    </w:p>
    <w:p/>
    <w:p>
      <w:r>
        <w:t>After calculating the price adjustments, we need to update our part records identified by the request UUID with the new pricing information. This includes updating fields such as engine model, displacement liters, certification level, market application, engine type, and fuel system type.</w:t>
      </w:r>
    </w:p>
    <w:p/>
    <w:p>
      <w:r>
        <w:t>Finally, if any of the threshold values exceed or meet their respective limits, we trigger an alert to the Criteria 3 service, which will handle additional analysis or actions based on the received data.</w:t>
      </w:r>
    </w:p>
    <w:p/>
    <w:p>
      <w:r>
        <w:t>Once all the price adjustments have been calculated and updated in the part records, the pricing review process is complete. The selected configuration becomes the preferred option for future product updates, and our system is updated with the new pricing information.</w:t>
      </w:r>
    </w:p>
    <w:p/>
    <w:p>
      <w:r>
        <w:t>In this way, we can ensure that our pricing decisions are informed by accurate and consistent performance data from our sales transactions, while also ensuring compliance with applicable rules and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