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the retrieval of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To accomplish this, our system will fetch data from the sales database using a specific SQL query that retrieves only the relevant fields for analysis. This includes the transaction date, quantity sold, revenue generated, and product identification number (PIN). The data is then processed in batches of 10,000 records to prevent overloading the system and ensure accuracy.</w:t>
      </w:r>
    </w:p>
    <w:p/>
    <w:p>
      <w:r>
        <w:t>Once the transactions have been retrieved, our system will group these records by customer segment using a threshold value of 100,000. This ensures that each segment is evaluated independently, allowing us to calculate performance metrics without mixing results from unrelated customer groups.</w:t>
      </w:r>
    </w:p>
    <w:p/>
    <w:p>
      <w:r>
        <w:t>Within each segment, we perform a series of evaluations to identify trends and patterns in sales data. We compare the quantity sold against historical averages to determine if demand has increased or decreased over time. We also examine revenue growth to determine if there are any anomalies that may warrant further investigation.</w:t>
      </w:r>
    </w:p>
    <w:p/>
    <w:p>
      <w:r>
        <w:t>The records are then evaluated based on their performance metrics, which include average revenue per unit (ARPU), gross margin, and return on investment (ROI). These calculations are performed using specific formulas that account for inflation, seasonality, and other factors that can impact sales performance. The results of these evaluations will determine the eligibility of each segment for a price adjustment.</w:t>
      </w:r>
    </w:p>
    <w:p/>
    <w:p>
      <w:r>
        <w:t>To calculate the ARPU, we use the following formula: (Average Revenue * Quantity Sold) / Total Units Sold. This takes into account both the revenue generated and the quantity sold to provide an accurate picture of average transaction value.</w:t>
      </w:r>
    </w:p>
    <w:p/>
    <w:p>
      <w:r>
        <w:t>Similarly, to calculate gross margin, we apply the following formula: Gross Margin = (Revenue - Cost of Goods Sold) / Revenue. This ensures that we accurately capture the profit contribution from each sale.</w:t>
      </w:r>
    </w:p>
    <w:p/>
    <w:p>
      <w:r>
        <w:t>The ROI calculation is performed using the following formula: ROI = Net Income / Total Investment. This provides a clear picture of the investment return and helps to identify areas where price adjustments may be warranted.</w:t>
      </w:r>
    </w:p>
    <w:p/>
    <w:p>
      <w:r>
        <w:t>After completing these evaluations, our system will compare the results against established pricing thresholds for each segment. These thresholds are set based on industry benchmarks, competitor analysis, and historical sales data. If the performance metrics exceed or equal these thresholds, the workflow proceeds with a price adjustment calculation.</w:t>
      </w:r>
    </w:p>
    <w:p/>
    <w:p>
      <w:r>
        <w:t>To calculate the new price, we apply a complex formula that takes into account multiple factors, including ARPU, gross margin, ROI, and market demand. This ensures that the adjusted price is fair and competitive while still maximizing revenue potential.</w:t>
      </w:r>
    </w:p>
    <w:p/>
    <w:p>
      <w:r>
        <w:t>Once the price adjustment has been calculated, our system will trigger an update operation to reflect the changes in the pricing database. This update includes a notification of approval or rejection based on the results of the evaluation and threshold checks.</w:t>
      </w:r>
    </w:p>
    <w:p/>
    <w:p>
      <w:r>
        <w:t>The update operation also triggers a service invocation, which sends an email notification to stakeholders, including sales teams, marketing departments, and product managers. The email includes a summary of the price adjustment, the justification for the change, and any additional information relevant to the sale or customer segment.</w:t>
      </w:r>
    </w:p>
    <w:p/>
    <w:p>
      <w:r>
        <w:t>If all conditions are met, our system will stop processing and proceed with the next step in the workflow. If not, it will send an error message to stakeholders indicating that further review is required before proceeding with the update.</w:t>
      </w:r>
    </w:p>
    <w:p/>
    <w:p>
      <w:r>
        <w:t>At this point, our system invokes another service, which provides additional analysis and recommendations for potential price adjustments based on data from sales performance over time, market trends, and customer preferences. This ensures that any changes are made in a data-driven manner that respects industry benchmarks and stakeholder requirements.</w:t>
      </w:r>
    </w:p>
    <w:p/>
    <w:p>
      <w:r>
        <w:t>The process will continue to loop back and forth between these stages until all conditions have been met or further review is required. In the event of an error or discrepancy, our system will detect it immediately and flag the transaction for manual review and intervention by stakeholders.</w:t>
      </w:r>
    </w:p>
    <w:p/>
    <w:p>
      <w:r>
        <w:t>Finally, once the price adjustment has been confirmed and approved, our system will update the pricing database with the new values, ensuring that all stakeholders have access to the most up-to-date information. This includes updates to sales materials, marketing campaigns, and product listings, as well as notifications to affected customers and internal teams.</w:t>
      </w:r>
    </w:p>
    <w:p/>
    <w:p>
      <w:r>
        <w:t>Throughout this process, our system remains focused on providing transparent, data-driven insights to support informed business decisions while respecting industry norms and stakeholder 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