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a submitted product involves several steps to ensure that the highest-quality design configurations are identified and utilized effectively.</w:t>
      </w:r>
    </w:p>
    <w:p/>
    <w:p>
      <w:r>
        <w:t>First, we need to retrieve all sales transactions associated with the product over the last twelve months. This step is critical because it provides us with valuable insights into how the product has performed across different customer segments, which in turn will help us identify patterns that may influence future pricing decisions. For instance, identifying whether the product's performance varies significantly between certain customer groups can inform our pricing strategy.</w:t>
      </w:r>
    </w:p>
    <w:p/>
    <w:p>
      <w:r>
        <w:t>Once we have retrieved these transactions, we group them by customer segment. This grouping is essential because it allows us to calculate performance metrics independently for each segment without mixing results from unrelated customer groups. By doing so, we can draw more accurate conclusions about the product's strengths and weaknesses in various market environments.</w:t>
      </w:r>
    </w:p>
    <w:p/>
    <w:p>
      <w:r>
        <w:t>Next, we evaluate the records within each segment individually. We use specific criteria to determine which sales transactions are eligible for inclusion in our analysis. The primary metric we track is revenue generated by the product across all customer segments. We also monitor profitability and return on investment (ROI) metrics to ensure that our pricing strategy aligns with business objectives.</w:t>
      </w:r>
    </w:p>
    <w:p/>
    <w:p>
      <w:r>
        <w:t>Now, let's move on to the calculation step, where we apply specific mathematical operations to determine which design configurations meet certain thresholds. In this case, our primary objective is to identify the three highest-ranked design configurations that belong to a common configuration family based on their engine model and displacement liters.</w:t>
      </w:r>
    </w:p>
    <w:p/>
    <w:p>
      <w:r>
        <w:t>Here's how it works: for each of the top three design configurations, we locate the corresponding configuration record in our database. We then retrieve both the engine model and displacement liters associated with this configuration. The key requirement is that all engine models must match exactly to confirm that these candidates belong to the same engine family. This ensures that our analysis focuses on configurations that share a common set of characteristics.</w:t>
      </w:r>
    </w:p>
    <w:p/>
    <w:p>
      <w:r>
        <w:t>After verifying the engine models, we proceed to calculate the range of displacement values across all candidate configurations. To do so, we subtract the smallest displacement value from the largest displacement value in each case. The resulting range is critical because it must remain below four liters to be considered a viable configuration family.</w:t>
      </w:r>
    </w:p>
    <w:p/>
    <w:p>
      <w:r>
        <w:t>Now, let's discuss how our decision-making process works. We've established two primary conditions that both need to be met simultaneously: (1) all engine models must match exactly, and (2) the displacement range across candidate configurations must be below four liters. If either of these conditions is not satisfied, we defer decision-making to the Criteria 3 service by sending the three candidate configurations.</w:t>
      </w:r>
    </w:p>
    <w:p/>
    <w:p>
      <w:r>
        <w:t>If both conditions are met, however, we move forward with selecting the first-ranked configuration as our preferred design option. This selected configuration allows us to retrieve specific additional data such as engine model, displacement liters, certification level, market application, engine type, and fuel system type. We use this information to update the corresponding part record identified by the request UUID.</w:t>
      </w:r>
    </w:p>
    <w:p/>
    <w:p>
      <w:r>
        <w:t>Once we've finished evaluating the top three design configurations based on these criteria, our workflow concludes. However, before it does so, we want to ensure that we're triggering the appropriate services to support our decision-making process efficiently and correctly.</w:t>
      </w:r>
    </w:p>
    <w:p/>
    <w:p>
      <w:r>
        <w:t>In particular, we are planning to trigger the Criteria 3 service by sending the three candidate configurations as part of our evaluation. This decision involves deferring further analysis to a specialized service, which can perform additional checks and calculations using their own set of predefined rules and thresholds.</w:t>
      </w:r>
    </w:p>
    <w:p/>
    <w:p>
      <w:r>
        <w:t>By leveraging this external service, we gain access to specialized expertise and knowledge that might otherwise be required if we were to manually analyze each configuration family based on the same criteria used within our internal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