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Starting a pricing review for the submitted product begins with retrieving all sales transactions associated with the product over the last twelve months. This process involves fetching data from our customer relationship management (CRM) system that contains records of past purchases, returns, and exchanges.</w:t>
      </w:r>
    </w:p>
    <w:p/>
    <w:p>
      <w:r>
        <w:t>Once we have retrieved these transactions, we group them by customer segment. This grouping is essential to ensure that performance metrics are calculated independently for each segment without mixing results from unrelated customer groups. By doing so, we can better understand how the product has performed across different customer segments and identify patterns that may influence future pricing decisions.</w:t>
      </w:r>
    </w:p>
    <w:p/>
    <w:p>
      <w:r>
        <w:t>Next, we need to evaluate each record within a group based on specific criteria. These criteria include evaluating whether the selected configuration represents a common configuration family among the top three highest-ranked design configurations. To do this, we locate the corresponding configuration record for each candidate design configuration and retrieve engine model values.</w:t>
      </w:r>
    </w:p>
    <w:p/>
    <w:p>
      <w:r>
        <w:t>Our primary concern here is ensuring that all engine model values match exactly, as this requirement indicates that all candidates belong to the same engine family. If they don't, it raises questions about how these different configurations relate to one another.</w:t>
      </w:r>
    </w:p>
    <w:p/>
    <w:p>
      <w:r>
        <w:t>Moving forward, we calculate the range of displacement values across all candidates. The range is determined by subtracting the smallest displacement value from the largest displacement value in our calculations. This provides a metric that can tell us whether there are any notable differences in engine size across the candidate configurations.</w:t>
      </w:r>
    </w:p>
    <w:p/>
    <w:p>
      <w:r>
        <w:t>According to our established thresholds, if the calculated displacement range exceeds four liters, we must defer decision-making and send the three candidate configurations for review by our Criteria 3 service.</w:t>
      </w:r>
    </w:p>
    <w:p/>
    <w:p>
      <w:r>
        <w:t>However, if both checks pass – i.e., all engine models match exactly, and the displacement range remains below four liters – then we can proceed with selecting a configuration. The first-ranked configuration becomes the selected configuration that will guide our next steps in updating the part record associated with the request UUID provided at the beginning of this process.</w:t>
      </w:r>
    </w:p>
    <w:p/>
    <w:p>
      <w:r>
        <w:t>Next, with our selected configuration in hand, we need to gather more detailed information about it by retrieving additional data from our database and CRM system. Specifically, we fetch engine model, displacement liters, certification level, market application, engine type, and fuel system type for the identified part record referenced by the UUID provided at the start of this workflow.</w:t>
      </w:r>
    </w:p>
    <w:p/>
    <w:p>
      <w:r>
        <w:t>Upon receiving all these necessary details, we update the corresponding part record in our database with the information contained within our retrieved data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