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for evaluating pricing alternatives begins by retrieving a comprehensive dataset of sales transactions associated with the product in question. This dataset spans the last twelve months, providing a thorough understanding of how the product has performed across various customer segments. By examining these transactions, we can identify patterns and trends that may influence future pricing decisions.</w:t>
      </w:r>
    </w:p>
    <w:p/>
    <w:p>
      <w:r>
        <w:t>Once the transaction data is retrieved, it undergoes extensive analysis to group the records by customer segment. Each segment is evaluated independently, ensuring that performance metrics are calculated separately for distinct customer groups without any cross-contamination of results. This ensures that each segment receives a fair assessment based on its unique characteristics.</w:t>
      </w:r>
    </w:p>
    <w:p/>
    <w:p>
      <w:r>
        <w:t>Next, we compare the overall revenue generated from all segments against the average revenue per unit. We also consider the gross profit margin and net profit margin as benchmarks to evaluate the pricing strategy's effectiveness. These comparisons enable us to determine if the current pricing structure is adequately compensating customers for the value they receive or if adjustments are needed.</w:t>
      </w:r>
    </w:p>
    <w:p/>
    <w:p>
      <w:r>
        <w:t>In addition, we assess the customer lifetime value (CLV) of each segment to identify opportunities for optimizing pricing while maintaining an optimal revenue stream. This involves analyzing sales trends over time to predict expected future sales and profits from each segment.</w:t>
      </w:r>
    </w:p>
    <w:p/>
    <w:p>
      <w:r>
        <w:t>To ensure that our analysis is comprehensive, we also evaluate the competitive landscape by comparing market prices for similar products offered by competitors. We use this information to gauge the attractiveness of our product within its respective market niche and make informed decisions about pricing adjustments accordingly.</w:t>
      </w:r>
    </w:p>
    <w:p/>
    <w:p>
      <w:r>
        <w:t>Once all these evaluations are complete, we proceed to calculate key financial metrics such as return on investment (ROI), payback period, and break-even analysis to help us make an informed decision regarding the adoption or rejection of a proposed pricing strategy.</w:t>
      </w:r>
    </w:p>
    <w:p/>
    <w:p>
      <w:r>
        <w:t>If any of the calculated metrics indicate that the current pricing structure is not aligned with business objectives or if a new pricing alternative offers a more attractive proposition, we will initiate the criteria evaluation process. This step involves comparing data from each segment against established benchmarks and thresholds to identify discrepancies or opportunities for improvement.</w:t>
      </w:r>
    </w:p>
    <w:p/>
    <w:p>
      <w:r>
        <w:t>Depending on our findings, several courses of action become available:</w:t>
      </w:r>
    </w:p>
    <w:p/>
    <w:p>
      <w:r>
        <w:t>1. If all metrics indicate that our current pricing structure is in alignment with business goals, no further changes are required.</w:t>
      </w:r>
    </w:p>
    <w:p>
      <w:r>
        <w:t>2. If there are areas where adjustments can be made without compromising competitiveness or revenue targets, we proceed with implementing targeted price reductions or increases to optimize profitability.</w:t>
      </w:r>
    </w:p>
    <w:p/>
    <w:p>
      <w:r>
        <w:t>3. In the event of identifying significant discrepancies between proposed pricing strategies and benchmarked data, we might invoke the Criteria 3 service for evaluation and recommendation on how best to address such disparities.</w:t>
      </w:r>
    </w:p>
    <w:p/>
    <w:p>
      <w:r>
        <w:t>4. If our analysis concludes that it is in the company's best interest to transition to a new pricing model, we will initiate the necessary steps to update pricing information across relevant systems while ensuring minimal disruption to customers or stakeholders.</w:t>
      </w:r>
    </w:p>
    <w:p/>
    <w:p>
      <w:r>
        <w:t>5. Finally, if the proposed changes meet all applicable criteria and thresholds for approval, an update request would be submitted for processing.</w:t>
      </w:r>
    </w:p>
    <w:p/>
    <w:p>
      <w:r>
        <w:t>Our final review and evaluation of the data collected from these different stages are essential in confirming that our pricing decisions align with business objectives, customer needs, and competitive pressures.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