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based on the provided rules:</w:t>
      </w:r>
    </w:p>
    <w:p/>
    <w:p>
      <w:r>
        <w:t>A pricing review is required for the submitted product.</w:t>
      </w:r>
    </w:p>
    <w:p/>
    <w:p>
      <w:r>
        <w:t>Firstly, all sales transactions associated with the product during the last twelve months are retrieved. This information is crucial in understanding how the product has performed across different customer segments and identifying patterns that may influence future pricing decisions. The data includes relevant fields such as transaction date, quantity sold, unit price, and customer identifier.</w:t>
      </w:r>
    </w:p>
    <w:p/>
    <w:p>
      <w:r>
        <w:t>Upon retrieving these transactions, the records are grouped by customer segment. Each segment is evaluated independently to ensure performance metrics can be calculated without mixing results from unrelated customer groups. This grouping ensures a fair comparison of sales performance across different segments.</w:t>
      </w:r>
    </w:p>
    <w:p/>
    <w:p>
      <w:r>
        <w:t>Next, the retrieved data is analyzed to identify key performance indicators (KPIs) for each product variant. The KPIs include average transaction value, revenue growth rate, and customer satisfaction ratings. These metrics are used to determine whether a price adjustment is necessary.</w:t>
      </w:r>
    </w:p>
    <w:p/>
    <w:p>
      <w:r>
        <w:t>The analysis involves comparing historical sales data with current market trends to assess the product's competitive position. This evaluation considers factors such as market share, competitor pricing strategies, and seasonal demand patterns.</w:t>
      </w:r>
    </w:p>
    <w:p/>
    <w:p>
      <w:r>
        <w:t>Once the KPIs have been calculated, the records are evaluated against predetermined thresholds. These thresholds define the acceptable range of values for each KPI. If a product variant meets or exceeds these threshold levels, it is considered eligible for price adjustment.</w:t>
      </w:r>
    </w:p>
    <w:p/>
    <w:p>
      <w:r>
        <w:t>There are two main conditions that must be met for a product to be eligible for price adjustment: (1) revenue growth rate exceeds 10% compared to the same period last year; and (2) customer satisfaction ratings average above 85%. If both conditions are satisfied, the product variant is considered for price adjustment.</w:t>
      </w:r>
    </w:p>
    <w:p/>
    <w:p>
      <w:r>
        <w:t>The calculation of these threshold levels involves considering industry benchmarks, market trends, and historical sales data. This ensures that price adjustments are made in a fair and informed manner, taking into account the specific market context and competitive landscape.</w:t>
      </w:r>
    </w:p>
    <w:p/>
    <w:p>
      <w:r>
        <w:t>If a product variant meets both conditions, it proceeds to the next stage. The records are then updated with the recommended new prices, which are based on a combination of factors such as production costs, market demand, and target profit margins.</w:t>
      </w:r>
    </w:p>
    <w:p/>
    <w:p>
      <w:r>
        <w:t>To ensure consistency across all product variants, there is an automated harmonization check that confirms the engine model matches across all eligible candidates. This check also verifies that the displacement liters range falls within the specified thresholds (less than 4 liters). If either validation fails, it triggers a notification to escalate the issue to the Criteria 3 service.</w:t>
      </w:r>
    </w:p>
    <w:p/>
    <w:p>
      <w:r>
        <w:t>If the harmonization checks pass successfully, the next step is to retrieve the engine model and displacement liters for each configuration. This information is used to provide detailed product specifications, including certification level, market application, engine type, and fuel system type.</w:t>
      </w:r>
    </w:p>
    <w:p/>
    <w:p>
      <w:r>
        <w:t>These product specifications are then updated in real-time across all relevant systems, ensuring that customers have access to accurate and up-to-date pricing information. The entire process is designed to be efficient, transparent, and customer-focused.</w:t>
      </w:r>
    </w:p>
    <w:p/>
    <w:p>
      <w:r>
        <w:t>Once the records have been evaluated and updated, the next step involves triggering a decision to stop processing. This ensures that any subsequent operations or triggers are aware of the current state of the product variants and pricing decisions.</w:t>
      </w:r>
    </w:p>
    <w:p/>
    <w:p>
      <w:r>
        <w:t>Finally, if another service is triggered during this process, such as the Criteria 3 service for escalated issues, it will take precedence over the current operation. The system is designed to adapt to changing requirements and priorities while maintaining the integrity of the business logic and data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