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walk through the business requirements step by step.</w:t>
      </w:r>
    </w:p>
    <w:p/>
    <w:p>
      <w:r>
        <w:t>First, we need to receive the submitted product information. This will include details such as product codes, descriptions, pricing structures, and sales history.</w:t>
      </w:r>
    </w:p>
    <w:p/>
    <w:p>
      <w:r>
        <w:t>Once we have received this information, our first task is to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 We need to consider various metrics such as revenue growth, profit margins, and market share.</w:t>
      </w:r>
    </w:p>
    <w:p/>
    <w:p>
      <w:r>
        <w:t>To retrieve these transactions, we will use a combination of internal databases and external data sources. Specifically, we will query our sales database for all transactions involving the product within the specified timeframe. Additionally, we will also pull in relevant customer data from our CRM system to analyze segment-level performance metrics.</w:t>
      </w:r>
    </w:p>
    <w:p/>
    <w:p>
      <w:r>
        <w:t>Upon retrieving the transactions, we group them by customer segment. Each segment is evaluated independently so that performance metrics can be calculated without mixing results from unrelated customer groups. This ensures that we have a clear understanding of how each segment contributes to overall product performance.</w:t>
      </w:r>
    </w:p>
    <w:p/>
    <w:p>
      <w:r>
        <w:t>Next, we need to calculate performance metrics for each segment. These may include metrics such as revenue growth rate, profit margin, and market share. We will use these metrics to identify patterns and trends in sales data across different customer groups. This analysis is crucial in helping us make informed pricing decisions that cater to specific customer needs.</w:t>
      </w:r>
    </w:p>
    <w:p/>
    <w:p>
      <w:r>
        <w:t>Once we have calculated the performance metrics, we need to compare the results across all segments. If any segment shows a mismatch with our desired product characteristics or market conditions, we will trigger additional analysis through our Criteria 3 service. This ensures that we validate our assumptions and ensure that our pricing strategy aligns with business objectives.</w:t>
      </w:r>
    </w:p>
    <w:p/>
    <w:p>
      <w:r>
        <w:t>Now, let's discuss the configuration review process. We are given three candidate configurations provided in the request, each of which must be examined to determine their suitability for the product. The first step is to retrieve engine model and displacement liters for each candidate. This allows us to compare the engine models directly.</w:t>
      </w:r>
    </w:p>
    <w:p/>
    <w:p>
      <w:r>
        <w:t>Next, we need to ensure that all candidates meet our engine model criteria. If any mismatch is found between engines, it indicates that the candidates are not sufficiently aligned. We will trigger a failure flag if this occurs, which forces us into additional analysis through Criteria 3 service.</w:t>
      </w:r>
    </w:p>
    <w:p/>
    <w:p>
      <w:r>
        <w:t>We also require the displacement range across all three candidates to remain under four liters. If this condition is not met, we will flag another failure and continue with our analysis.</w:t>
      </w:r>
    </w:p>
    <w:p/>
    <w:p>
      <w:r>
        <w:t>Now, let's review what happens when configurations pass both validations. In this case, we can proceed automatically without further intervention. However, if any configuration fails validation, our process must be triggered through Criteria 3 service to evaluate it further.</w:t>
      </w:r>
    </w:p>
    <w:p/>
    <w:p>
      <w:r>
        <w:t>Once a configuration passes both validations, the first-ranked configuration is selected and used to retrieve engine model, displacement liters, certification level, market application, engine type, and fuel system type. These attributes are then updated into the target part with the request UUID.</w:t>
      </w:r>
    </w:p>
    <w:p/>
    <w:p>
      <w:r>
        <w:t>Our final step is to update our sales database with the new pricing information. This will ensure that all relevant stakeholders have access to the latest data, enabling them to make informed decisions about product pricing and inventory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