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rewritten business process narrative:</w:t>
      </w:r>
    </w:p>
    <w:p/>
    <w:p>
      <w:r>
        <w:t>When a pricing review is initiated for a submitted product, this workflow ensures that all necessary data is gathered to support informed pricing decisions.</w:t>
      </w:r>
    </w:p>
    <w:p/>
    <w:p>
      <w:r>
        <w:t>Firstly, we retrieve all sales transactions associated with the product during the last twelve months. This retrieval of historical data allows us to understand how the product has performed across different customer segments and identify patterns that may influence future pricing decisions. It's essential to obtain a comprehensive view of the product's performance in various market conditions.</w:t>
      </w:r>
    </w:p>
    <w:p/>
    <w:p>
      <w:r>
        <w:t>Once these transactions have been retrieved, we group them by customer segment. By doing so, we can evaluate each segment independently without mixing results from unrelated customer groups. This is crucial because different segments may have distinct buying behaviors, preferences, and price sensitivities that need to be considered when setting prices for the product.</w:t>
      </w:r>
    </w:p>
    <w:p/>
    <w:p>
      <w:r>
        <w:t>Next, we calculate performance metrics for each segment. These metrics provide valuable insights into how well the product is meeting its sales targets and identifying areas for improvement. By analyzing these metrics, we can determine which configuration variants are performing better than others within a particular segment.</w:t>
      </w:r>
    </w:p>
    <w:p/>
    <w:p>
      <w:r>
        <w:t>To ensure that our pricing strategy remains relevant to customers in different segments, it's essential to evaluate configuration variances against specific thresholds. These thresholds serve as benchmarks that help us identify which configurations offer the best value proposition for each customer group.</w:t>
      </w:r>
    </w:p>
    <w:p/>
    <w:p>
      <w:r>
        <w:t>When evaluating the performance metrics, we also need to consider calculation rules related to discounts and incentives offered by suppliers. For instance, if a supplier is offering a discount on a particular component due to high sales volumes, we may need to apply this discount across all configurations that include that component.</w:t>
      </w:r>
    </w:p>
    <w:p/>
    <w:p>
      <w:r>
        <w:t>As part of our evaluation process, we compare our calculated performance metrics against predefined thresholds set for each configuration variant. If any threshold fails, we know that an update operation needs to be triggered.</w:t>
      </w:r>
    </w:p>
    <w:p/>
    <w:p>
      <w:r>
        <w:t>For instance, suppose the displacement consistency threshold requires that the largest displacement value differs from the smallest displacement value by less than four liters. In this case, if the difference exceeds four liters, our system will invoke a specific service, such as Criteria 3, and provide all three candidate configurations for evaluation.</w:t>
      </w:r>
    </w:p>
    <w:p/>
    <w:p>
      <w:r>
        <w:t>By invoking this service, we can obtain additional data or analysis that may help us identify why the threshold was exceeded and what corrective actions are needed to optimize pricing strategies. This process ensures that any pricing changes made during the review are based on a thorough understanding of the product's performance across different customer segments.</w:t>
      </w:r>
    </w:p>
    <w:p/>
    <w:p>
      <w:r>
        <w:t>When both consistency checks pass, we select the first-ranked configuration as our target part for further processing. To complete this workflow, we invoke a service that retrieves additional information about the selected configuration, such as engine model, displacement liters, certification level, market application, engine type, and fuel system type.</w:t>
      </w:r>
    </w:p>
    <w:p/>
    <w:p>
      <w:r>
        <w:t>The retrieved data is then used to update the target part identified by the request UUID. This ensures that our pricing review is aligned with the most up-to-date product specifications.</w:t>
      </w:r>
    </w:p>
    <w:p/>
    <w:p>
      <w:r>
        <w:t>Once the update operation completes successfully, we can conclude the pricing review process with accurate recommendations for pricing the submitted product. Our analysis provides a comprehensive view of the product's performance across different customer segments and identifies areas where adjustments can be made to optimize pricing strategies.</w:t>
      </w:r>
    </w:p>
    <w:p/>
    <w:p>
      <w:r>
        <w:t>Throughout this workflow, it's essential that we preserve all business logic exactly and ensure that no calculation or decision is overlooked. By doing so, we guarantee that our pricing recommendations are based on accurate data analysis and will ultimately support informed business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