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of evaluating pricing for a submitted product involves several steps that ensure accurate and fair pricing decisions.</w:t>
      </w:r>
    </w:p>
    <w:p/>
    <w:p>
      <w:r>
        <w:t>The workflow begins by retrieving all sales transactions associated with the product during the last twelve months. This information is crucial in understanding how the product has performed across different customer segments, which can influence future pricing decisions. The purpose of this step is to analyze performance metrics such as revenue growth, profit margins, and customer satisfaction, which are essential in determining the optimal price for the product.</w:t>
      </w:r>
    </w:p>
    <w:p/>
    <w:p>
      <w:r>
        <w:t>Once the transactions have been retrieved, they are grouped by customer segment. Each segment is evaluated independently to ensure that performance metrics can be calculated without mixing results from unrelated customer groups. This approach allows us to identify patterns and trends within each segment, which can inform pricing decisions.</w:t>
      </w:r>
    </w:p>
    <w:p/>
    <w:p>
      <w:r>
        <w:t>The next step involves evaluating the records within each segment. The evaluation process assesses various factors such as revenue growth rates, profit margins, and market demand for the product. These factors are critical in determining whether the product is priced competitively or if a price adjustment is warranted.</w:t>
      </w:r>
    </w:p>
    <w:p/>
    <w:p>
      <w:r>
        <w:t>As part of this evaluation, calculations are performed to determine key performance indicators (KPIs) such as return on investment (ROI), payback period, and break-even point. These KPIs provide valuable insights into the financial performance of the product and help inform pricing decisions.</w:t>
      </w:r>
    </w:p>
    <w:p/>
    <w:p>
      <w:r>
        <w:t>The process also involves checking for consistency in various aspects of the product's performance. For instance, displacement liters are compared to ensure that all engine models within a given segment have similar specifications. This check is crucial in determining whether the top three candidate configurations belong to the same engine family.</w:t>
      </w:r>
    </w:p>
    <w:p/>
    <w:p>
      <w:r>
        <w:t>To achieve this, we retrieve engine model and displacement liters for all three candidates. The purpose of this step is to verify that the engine models are identical and that the largest displacement value differs from the smallest displacement value by less than four liters. If either check fails, we invoke the Criteria 3 service and provide all three candidate configurations. This is essential in ensuring that we consider alternative options when one or more consistency checks fail.</w:t>
      </w:r>
    </w:p>
    <w:p/>
    <w:p>
      <w:r>
        <w:t>When both checks succeed, we select the first-ranked configuration and use it to retrieve additional information such as certification level, market application, engine type, and fuel system type. We then update the target part identified by the request UUID with this new information.</w:t>
      </w:r>
    </w:p>
    <w:p/>
    <w:p>
      <w:r>
        <w:t>This process continues until all relevant information has been retrieved and evaluated. At this point, we can confidently make pricing decisions based on our analysis of performance metrics, consistency checks, and other relevant factors.</w:t>
      </w:r>
    </w:p>
    <w:p/>
    <w:p>
      <w:r>
        <w:t>The workflow also involves triggering service invocations at various stages to retrieve or update data. For instance, when the top three candidate configurations are identified as belonging to the same engine family, we invoke the Criteria 3 service to provide additional information.</w:t>
      </w:r>
    </w:p>
    <w:p/>
    <w:p>
      <w:r>
        <w:t>In summary, this workflow aims to provide an accurate and fair pricing decision by evaluating performance metrics, checking for consistency in product specifications, and updating relevant data. The process is designed to ensure that all logical steps are followed and that all necessary data is considered before making a final pricing decision.</w:t>
      </w:r>
    </w:p>
    <w:p/>
    <w:p>
      <w:r>
        <w:t>When the evaluation process is complete, processing stops, and the final pricing decision can be made based on the analysis of performance metrics, consistency checks, and other relevant factors.</w:t>
      </w:r>
    </w:p>
    <w:p/>
    <w:p>
      <w:r>
        <w:t>The next step would involve triggering an insert operation to update the target part identified by the request UUID with the new information retrieved during the evaluation process. This ensures that all data is up-to-date and reflects the latest changes.</w:t>
      </w:r>
    </w:p>
    <w:p/>
    <w:p>
      <w:r>
        <w:t>Once the pricing decision has been made, we can trigger a service invocation to update the pricing records in our database. This is essential in ensuring that the pricing decision is reflected accurately in our systems.</w:t>
      </w:r>
    </w:p>
    <w:p/>
    <w:p>
      <w:r>
        <w:t>Overall, this workflow provides a comprehensive approach to evaluating pricing decisions by considering various factors such as performance metrics, consistency checks, and other relevant data. By following these logical steps, we can ensure that all necessary data is considered before making a final pricing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