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a pricing review for a submitted product. The process begins with retrieving all sales transactions associated with the product during the last twelve months. This is crucial information as it will allow us to understand how the product has performed across different customer segments and identify patterns that may influence future pricing decisions.</w:t>
      </w:r>
    </w:p>
    <w:p/>
    <w:p>
      <w:r>
        <w:t>The sales transaction data, including quantity sold, revenue, and other relevant details, are retrieved from our database based on a query parameter specified in the request header. For instance, if we receive a GET /price/reviews request with an optional `fromDate` query parameter set to 2022-01-01, we will fetch sales transactions for all products that were sold starting from January 1st, 2022.</w:t>
      </w:r>
    </w:p>
    <w:p/>
    <w:p>
      <w:r>
        <w:t>Once the transactions have been retrieved, they are grouped by product. In this case, since we're reviewing a single submitted product, there's only one group. However, if multiple products were being evaluated simultaneously, each would be processed independently to prevent mixing of results from unrelated customer groups.</w:t>
      </w:r>
    </w:p>
    <w:p/>
    <w:p>
      <w:r>
        <w:t>Now, let's dive deeper into how these records are evaluated for pricing adjustments. Each segment is assessed separately. This means that performance metrics are calculated individually without interference from other product groups.</w:t>
      </w:r>
    </w:p>
    <w:p/>
    <w:p>
      <w:r>
        <w:t>In our case, since we're dealing with a single product, we'll focus on its overall performance. We calculate key indicators such as revenue growth rate, unit price change, and customer satisfaction scores over the last twelve months. These values provide insights into how well the product has performed in different markets or regions, helping us make informed pricing decisions.</w:t>
      </w:r>
    </w:p>
    <w:p/>
    <w:p>
      <w:r>
        <w:t>Next, let's consider how calculations are performed for these evaluations. For instance, we need to calculate the average unit revenue of all sales transactions associated with this specific product during the review period. This can be achieved using a combination of arithmetic operations and conditional statements within our programming logic.</w:t>
      </w:r>
    </w:p>
    <w:p/>
    <w:p>
      <w:r>
        <w:t>When evaluating displacement liters consistency, we check if the largest value differs from the smallest by less than four liters. If this condition is met, it indicates that the engine family for the top three candidate configurations is consistent across all models. Conversely, if there's any deviation beyond this threshold, we invoke the Criteria 3 service to verify the results further.</w:t>
      </w:r>
    </w:p>
    <w:p/>
    <w:p>
      <w:r>
        <w:t>Similarly, when assessing engine model consistency, we compare each model against every other model within our top three candidates. If all models match, then the engine family for these configurations belongs to the same type. However, if a mismatch is detected at any point, it signifies that the selected parts belong to different families, prompting further review before making any pricing adjustments.</w:t>
      </w:r>
    </w:p>
    <w:p/>
    <w:p>
      <w:r>
        <w:t>Throughout this evaluation process, we adhere strictly to our established thresholds and conditions. Our primary goal is accuracy, ensuring that price adjustments are made based on solid data rather than incomplete or misleading information.</w:t>
      </w:r>
    </w:p>
    <w:p/>
    <w:p>
      <w:r>
        <w:t>Once all evaluations have been conducted, and both checks for displacement liters and engine models consistency pass, the next step involves retrieving specific details about the first-ranked configuration to finalize pricing decisions. We fetch this information by invoking our system's internal APIs, which provide access to key attributes of the selected component.</w:t>
      </w:r>
    </w:p>
    <w:p/>
    <w:p>
      <w:r>
        <w:t>Now that we've confirmed the top configuration, let's update the target part identified by the request UUID with the most current data, reflecting these final adjustments in our database and ensuring accuracy across all product offerings moving forward.</w:t>
      </w:r>
    </w:p>
    <w:p/>
    <w:p>
      <w:r>
        <w:t>We continue processing until we're confident that the review has been completed accurately and without any discrepancies. Upon completion of these steps, further processing stops to allow for final validation before implementing pricing changes across all affected products.</w:t>
      </w:r>
    </w:p>
    <w:p/>
    <w:p>
      <w:r>
        <w:t>In summary, this comprehensive pricing review ensures accurate adjustments based on detailed analysis and thorough evaluation of product performance over time. By following our established logic and carefully adhering to predetermined conditions and thresholds, we can confidently implement data-driven pricing decisions that reflect the true worth of each component in our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