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break down the process of evaluating top three candidate configurations for determining their membership in the same engine family.</w:t>
      </w:r>
    </w:p>
    <w:p/>
    <w:p>
      <w:r>
        <w:t>The first step involves retrieving all sales transactions associated with these configurations during the last twelve months. This data will be crucial for understanding how each configuration has performed across different customer segments and identifying any patterns that might impact future pricing decisions.</w:t>
      </w:r>
    </w:p>
    <w:p/>
    <w:p>
      <w:r>
        <w:t>Once the transactions have been retrieved, they are grouped by customer segment to ensure that performance metrics can be calculated independently without mixing results from unrelated groups. Each segment is evaluated separately to guarantee accurate calculations.</w:t>
      </w:r>
    </w:p>
    <w:p/>
    <w:p>
      <w:r>
        <w:t>After grouping, records are scrutinized for a specific combination of characteristics: engine model and displacement liters for all three candidates. This is a critical part of the process as it directly affects whether or not the top configurations belong to the same engine family.</w:t>
      </w:r>
    </w:p>
    <w:p/>
    <w:p>
      <w:r>
        <w:t>The first characteristic, engine model consistency, exists only when all three models are identical among the candidates being evaluated. If there's even a single variation in the models, this check fails and a specific service invocation becomes necessary (Criteria 3 service). This step prevents any false positives or misleading conclusions based on inconsistent data.</w:t>
      </w:r>
    </w:p>
    <w:p/>
    <w:p>
      <w:r>
        <w:t>Similarly, displacement liters play a pivotal role as well; consistency exists only when the largest displacement value differs from the smallest by less than four liters. Any deviation beyond this threshold invalidates the check for displacement consistency, triggering the invocation of the same Criteria 3 service. This ensures that all calculations are based solely on consistent and accurate data.</w:t>
      </w:r>
    </w:p>
    <w:p/>
    <w:p>
      <w:r>
        <w:t>Upon failing either one of these checks—engine model or displacement—it's clear that the top configurations do not belong to the same engine family. As a result, the Criteria 3 service is invoked, providing all three candidate configurations. It's essential to include every configuration in this process, as any single evaluation might overlook critical differences among them.</w:t>
      </w:r>
    </w:p>
    <w:p/>
    <w:p>
      <w:r>
        <w:t>When both consistency checks succeed—engine model and displacement—selecting the first-ranked configuration becomes a straightforward next step. The selected configuration then leads to another set of data retrievals: engine model, displacement liters, certification level, market application, engine type, and fuel system type. This is done by invoking a service that retrieves this detailed information using the configuration's UUID.</w:t>
      </w:r>
    </w:p>
    <w:p/>
    <w:p>
      <w:r>
        <w:t>Finally, updating the target part with the identified configuration becomes necessary to reflect the latest findings within our records or database. This ensures that all subsequent analyses remain accurate by leveraging up-to-date data.</w:t>
      </w:r>
    </w:p>
    <w:p/>
    <w:p>
      <w:r>
        <w:t>The entire process concludes once these steps have been completed, signaling that the evaluation for top configurations belonging to the same engine family has concluded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