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pricing review is required for the submitted product.</w:t>
      </w:r>
    </w:p>
    <w:p/>
    <w:p>
      <w:r>
        <w:t>The process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data will be used to evaluate the performance metrics for each segment, allowing us to make informed decisions about pricing adjustments.</w:t>
      </w:r>
    </w:p>
    <w:p/>
    <w:p>
      <w:r>
        <w:t>Once the transactions have been retrieved, we will group them by customer segment. Each segment will be evaluated independently so that performance metrics can be calculated without mixing results from unrelated customer groups. This is crucial in ensuring accurate analysis and avoiding potential errors that could arise from combining data from different segments.</w:t>
      </w:r>
    </w:p>
    <w:p/>
    <w:p>
      <w:r>
        <w:t>Next, we will retrieve the pricing admin owner identifier for each product to ensure that we are considering the correct person or group when making adjustments to the price. If no information is available, a default value will be used instead of returning an empty record.</w:t>
      </w:r>
    </w:p>
    <w:p/>
    <w:p>
      <w:r>
        <w:t>After obtaining the necessary information, we will then need to match it with an External Configuration Control (ECC) mapping using the name and pricing admin owner identifier. There are two possible scenarios: (1) if exactly one record exists for this mapping, we will use its ECC value; or (2) if multiple records exist, we will return without making any changes.</w:t>
      </w:r>
    </w:p>
    <w:p/>
    <w:p>
      <w:r>
        <w:t>In both cases, once the correct ECC value is determined, it will be used to update the corresponding product with the new price. If no change is needed due to lack of data, an empty record will be returned. This step ensures that all products are up-to-date and accurate in their pricing based on customer segment performance.</w:t>
      </w:r>
    </w:p>
    <w:p/>
    <w:p>
      <w:r>
        <w:t>We will repeat this process for each part number, as some may have different ECC mappings. Additionally, we will create a service call to alert administrators about any discrepancies found during the review, specifically when there is no valid ECC mapping. This alert will be sent weekly, providing an additional layer of assurance that pricing adjustments are being made correctly.</w:t>
      </w:r>
    </w:p>
    <w:p/>
    <w:p>
      <w:r>
        <w:t>When processing stops, the output will indicate whether the product has been updated successfully and which part numbers required updates.</w:t>
      </w:r>
    </w:p>
    <w:p/>
    <w:p>
      <w:r>
        <w:t>Finally, another service call will be triggered if new data becomes available, to ensure ongoing maintenance and updates of these critical price review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