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The pricing review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To accomplish this, we need to pull in relevant data from our database, which includes information about each transaction's corresponding part number, pricing admin owner, name, and ECC mapping.</w:t>
      </w:r>
    </w:p>
    <w:p/>
    <w:p>
      <w:r>
        <w:t>Once the transactions have been retrieved, the records are grouped by customer segment. Each segment is evaluated independently so that performance metrics can be calculated without mixing results from unrelated customer groups. This means we will need to apply a filter on the data to ensure we're only looking at data for each specific customer segment.</w:t>
      </w:r>
    </w:p>
    <w:p/>
    <w:p>
      <w:r>
        <w:t>To group the records by customer segment, we use an index on our ECC mapping table to efficiently retrieve the relevant data. We then sort the grouped records based on their corresponding pricing admin owner and name. This allows us to identify any patterns or anomalies in the pricing admin owner's behavior across different customer segments.</w:t>
      </w:r>
    </w:p>
    <w:p/>
    <w:p>
      <w:r>
        <w:t>Next, we evaluate each record in the sorted list of groupings. To determine if a record requires an update, we need to check if it has a valid ECC mapping assigned. We use a threshold value of exactly one record for PartNounNameEccXref DB call to identify records that require an update. If there is only one record with a non-null ECC value, we proceed to update the corresponding part record.</w:t>
      </w:r>
    </w:p>
    <w:p/>
    <w:p>
      <w:r>
        <w:t>However, if multiple records exist for PartNounNameEccXrefByName DB call, or if no record exists at all, we know that the record does not have a valid ECC mapping assigned and requires an insert operation. In this case, we use field mappings to populate the target record with the relevant data from our database.</w:t>
      </w:r>
    </w:p>
    <w:p/>
    <w:p>
      <w:r>
        <w:t>If we find multiple records for PartNounNameEccXrefByName DB call, but none of them have a non-null ECC value, we conclude that the record does not require any updates or inserts and move on to the next record in the list.</w:t>
      </w:r>
    </w:p>
    <w:p/>
    <w:p>
      <w:r>
        <w:t>To ensure we're considering all possible scenarios, we also need to trigger an alert service when multiple records exist for PartNounNameEccXrefByName DB call. This allows us to notify relevant stakeholders about potential ECC mapping issues that require manual review.</w:t>
      </w:r>
    </w:p>
    <w:p/>
    <w:p>
      <w:r>
        <w:t>When we reach the end of our evaluation process, we have identified which records require updates or inserts and have triggered any necessary alert services. We can then proceed with updating the corresponding part records or inserting new records into our database.</w:t>
      </w:r>
    </w:p>
    <w:p/>
    <w:p>
      <w:r>
        <w:t>As part of this process, we also need to track the status of each record, including whether an update or insert has occurred. This allows us to monitor progress and make adjustments as needed.</w:t>
      </w:r>
    </w:p>
    <w:p/>
    <w:p>
      <w:r>
        <w:t>Once the evaluation is complete, we stop processing and move on to the next task in our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