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 pricing review request for the submitted product. This request contains all necessary information, including the product details, pricing history, and any relevant customer data.</w:t>
      </w:r>
    </w:p>
    <w:p/>
    <w:p>
      <w:r>
        <w:t>Upon receipt of the request, our system retrieves all sales transactions associated with the product during the last twelve months from the database. The purpose of retrieving these transactions is to understand how the product has performed across different customer segments and to identify patterns that may influence future pricing decisions.</w:t>
      </w:r>
    </w:p>
    <w:p/>
    <w:p>
      <w:r>
        <w:t>Once the transactions have been retrieved, we group them by customer segment. Each segment is evaluated independently so that performance metrics can be calculated without mixing results from unrelated customer groups. We use a threshold of 100 transactions per segment to determine if it's worth evaluating further. If the number of transactions falls below this threshold, the segment is skipped and the process moves on to the next one.</w:t>
      </w:r>
    </w:p>
    <w:p/>
    <w:p>
      <w:r>
        <w:t>Next, we need to calculate the revenue generated by each product variant within each customer segment over the last twelve months. We do this by summing up the transaction values for each variant in each segment. The calculation takes into account any discounts or promotions that may have been applied.</w:t>
      </w:r>
    </w:p>
    <w:p/>
    <w:p>
      <w:r>
        <w:t>After calculating the revenue, we need to determine the price adjustment necessary for each product variant based on its performance metrics. We use a formula that considers both the revenue generated and the number of transactions within each segment. If the revenue exceeds a certain threshold (currently set at $100,000), we apply an additional 5% price increase.</w:t>
      </w:r>
    </w:p>
    <w:p/>
    <w:p>
      <w:r>
        <w:t>The next step is to update or insert records in the Part Segment Entity (PSE) based on the calculated price adjustment. We compare the short_part_number in PSE with the child_part received in the request data and perform either an update or an insert operation, depending on whether a record already exists for that part number.</w:t>
      </w:r>
    </w:p>
    <w:p/>
    <w:p>
      <w:r>
        <w:t>If a record is found in the PSE for the given part number, we retrieve the existing value of last_year_esn_produced from the Part Segment Entity. If no record exists, we initialize this field to 0. We then update or insert the latest_configuration for that part number based on the design_config_num retrieved from the BOM Configuration Volume Entity.</w:t>
      </w:r>
    </w:p>
    <w:p/>
    <w:p>
      <w:r>
        <w:t>The process continues by invoking the cu_ms_esnconfig_part_update service to perform any necessary updates or inserts in the database. This ensures that all changes are properly logged and can be tracked for audit purposes.</w:t>
      </w:r>
    </w:p>
    <w:p/>
    <w:p>
      <w:r>
        <w:t>Once the update or insert operation has been completed, we check if there are any other services that need to be invoked as part of this process. In this case, we trigger the cu_wf_esnconfig_part_update workflow to ensure that all necessary actions are taken in sequence.</w:t>
      </w:r>
    </w:p>
    <w:p/>
    <w:p>
      <w:r>
        <w:t>The processing stops once all required operations have been completed and the request has been fully processed. At this point, our system provides a standard response structure containing the updated or inserted records, along with any relevant error messages or notifications.</w:t>
      </w:r>
    </w:p>
    <w:p/>
    <w:p>
      <w:r>
        <w:t>It's worth noting that there is also an alternative scenario where the customer has opted for a manual review process. In this case, we receive notification of the manual review request and trigger the cu_ms_esnconfig_part_update_workflow to initiate the evaluation process. However, instead of performing automated calculations and updates, we provide a portal for the reviewer to manually input their decisions and any necessary actions.</w:t>
      </w:r>
    </w:p>
    <w:p/>
    <w:p>
      <w:r>
        <w:t>The system also tracks all interactions and communications related to this process, including emails, phone calls, and chat sessions, to ensure that customers are informed and updated throughout the review process.</w:t>
      </w:r>
    </w:p>
    <w:p/>
    <w:p>
      <w:r>
        <w:t>Finally, we conduct regular reviews of our pricing review process to ensure that it remains accurate, efficient, and effective. We use data analytics and business intelligence tools to monitor key performance indicators (KPIs) such as processing time, accuracy rates, and customer satisfaction. By continuously refining and improving this process, we aim to deliver exceptional value to our customers while maintaining a competitive edge in the market.</w:t>
      </w:r>
    </w:p>
    <w:p/>
    <w:p>
      <w:r>
        <w:t>Overall, our pricing review process is designed to provide accurate and timely insights into product performance, allowing us to make informed decisions that drive business growth and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