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Let's start by walking through the business requirements for a pricing consultant, focusing on the process narrative.</w:t>
      </w:r>
    </w:p>
    <w:p/>
    <w:p>
      <w:r>
        <w:t>When a customer submits a product for review, we need to evaluate its performance across different customer segments. To achieve this, we'll begin by retrieving all sales transactions associated with the product during the last twelve months. This data will help us understand how the product has performed in various scenarios and identify patterns that may influence future pricing decisions.</w:t>
      </w:r>
    </w:p>
    <w:p/>
    <w:p>
      <w:r>
        <w:t>Once the transactions have been retrieved, we need to group them by customer segment. Each segment will be evaluated independently, allowing us to calculate performance metrics without mixing results from unrelated customer groups. For instance, if we're analyzing the sales of a particular product across multiple regions, we'll want to consider each region separately to ensure accurate comparisons.</w:t>
      </w:r>
    </w:p>
    <w:p/>
    <w:p>
      <w:r>
        <w:t>Next, we'll evaluate each record within these segments by calculating various performance metrics, such as revenue growth, customer retention rates, and average order value. These calculations will provide us with valuable insights into how the product is performing in different contexts.</w:t>
      </w:r>
    </w:p>
    <w:p/>
    <w:p>
      <w:r>
        <w:t>One of our key calculations involves determining the last year's esn produced for a given short part number in the cu_part_segment entity. To do this accurately, we'll need to map the year attribute from the cu_bom_config_vol entity with the design_config_num and extract the associated esn_count.</w:t>
      </w:r>
    </w:p>
    <w:p/>
    <w:p>
      <w:r>
        <w:t>The process will continue by updating or inserting records into the cu_part_segment entity based on these performance metrics. This ensures that our pricing strategy reflects the actual performance of the product across various customer segments.</w:t>
      </w:r>
    </w:p>
    <w:p/>
    <w:p>
      <w:r>
        <w:t>Throughout this process, we'll be using decision paths to determine whether updates or inserts are necessary for each record. If an update is required, we'll map the year attribute from the cu_bom_config_vol entity with the design_config_num and extract the associated esn_count.</w:t>
      </w:r>
    </w:p>
    <w:p/>
    <w:p>
      <w:r>
        <w:t>If an insert operation is needed, we'll perform a similar calculation to determine the last year's esn produced for a given short part number in the cu_part_segment entity. We'll use this data to update or insert records into the cu_part_segment entity accordingly.</w:t>
      </w:r>
    </w:p>
    <w:p/>
    <w:p>
      <w:r>
        <w:t>This process will repeat for each record evaluated within these customer segments, ensuring that our pricing strategy accurately reflects the performance of the product across various contexts.</w:t>
      </w:r>
    </w:p>
    <w:p/>
    <w:p>
      <w:r>
        <w:t>Finally, once all updates and inserts have been completed, we'll review the results to ensure that the calculations were performed correctly. We'll verify that the correct records were updated or inserted based on the performance metrics calculated earlier.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