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pricing for submitted products involves several critical steps that ensure accurate calculations and updates.</w:t>
      </w:r>
    </w:p>
    <w:p/>
    <w:p>
      <w:r>
        <w:t>First, all sales transactions associated with the product during the last twelve months are retrieved from our database. The purpose of retrieving these transactions is to understand how the product has performed across different customer segments and to identify patterns that may influence future pricing decisions. This information will be used to calculate performance metrics for each segment.</w:t>
      </w:r>
    </w:p>
    <w:p/>
    <w:p>
      <w:r>
        <w:t>The retrieved records are then grouped by customer segment. Each segment is evaluated independently so that performance metrics can be calculated without mixing results from unrelated customer groups. This ensures that the analysis is accurate and relevant to the specific product line.</w:t>
      </w:r>
    </w:p>
    <w:p/>
    <w:p>
      <w:r>
        <w:t>Once the segments have been grouped, a series of calculations must be performed. The first calculation involves determining the total revenue generated by each product for its respective sales channels. This includes both direct and indirect sales, as well as any other applicable sales channels.</w:t>
      </w:r>
    </w:p>
    <w:p/>
    <w:p>
      <w:r>
        <w:t>The next step involves calculating the total cost incurred by each product across all relevant cost centers. This takes into account various factors such as raw materials, labor, and overhead costs.</w:t>
      </w:r>
    </w:p>
    <w:p/>
    <w:p>
      <w:r>
        <w:t>With these two totals calculated, a new metric can be determined – the gross profit margin for each segment. This is achieved by subtracting the total cost from the total revenue to obtain the net profit earned on each product.</w:t>
      </w:r>
    </w:p>
    <w:p/>
    <w:p>
      <w:r>
        <w:t>In addition to calculating the overall performance metrics for each segment, an individual analysis must also take into account specific constraints or thresholds that may affect pricing decisions. These can include minimum order quantities, maximum price limits, and other applicable pricing rules.</w:t>
      </w:r>
    </w:p>
    <w:p/>
    <w:p>
      <w:r>
        <w:t>If all relevant information is available, a final decision must be made regarding whether changes are needed to the existing pricing structure. This involves evaluating the current market conditions and comparing them against historical patterns and industry benchmarks.</w:t>
      </w:r>
    </w:p>
    <w:p/>
    <w:p>
      <w:r>
        <w:t>Once a decision has been reached, the next steps involve either updating the existing pricing records or creating new ones if necessary. In all cases, the system ensures that any updates are properly documented along with the date and time they were made.</w:t>
      </w:r>
    </w:p>
    <w:p/>
    <w:p>
      <w:r>
        <w:t>Finally, after processing is complete, the system invokes another service to ensure that the updated pricing records are propagated across various external systems as needed. This includes integrating with third-party data feeds or other internal systems to reflect price changes in a timely manner.</w:t>
      </w:r>
    </w:p>
    <w:p/>
    <w:p>
      <w:r>
        <w:t>The entire process must be triggered by the receipt of new product information or updates to existing sales transactions, ensuring that the pricing analysis remains relevant and accurate going forward.</w:t>
      </w:r>
    </w:p>
    <w:p/>
    <w:p>
      <w:r>
        <w:t>By following this detailed workflow, we can ensure that pricing decisions are informed, accurate, and reflective of the most up-to-date market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