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Our process begins with retrieving all sales transactions associated with the product during the last twelve months. This information is crucial in understanding how the product has performed across different customer segments and identifying patterns that may influence future pricing decisions.</w:t>
      </w:r>
    </w:p>
    <w:p/>
    <w:p>
      <w:r>
        <w:t>Once we have retrieved these transactions, the next step is to group them by customer segment. Each segment will be evaluated independently so that performance metrics can be calculated without mixing results from unrelated customer groups. To facilitate this grouping, we will create temporary entity groups based on shared characteristics such as product category, region, or other relevant attributes.</w:t>
      </w:r>
    </w:p>
    <w:p/>
    <w:p>
      <w:r>
        <w:t>Now, let's dive deeper into the evaluation process for each customer segment. For this purpose, we will need to fetch and analyze data from several sources, including sales data, market trends, and competitor analysis. The primary goal is to identify key drivers that influence pricing decisions, such as product performance, market demand, and competition.</w:t>
      </w:r>
    </w:p>
    <w:p/>
    <w:p>
      <w:r>
        <w:t>After gathering and analyzing this data, we will perform calculations to determine the pricing methodology for each segment. This involves mapping marketing configurations with code attributes of configuration entities and fetching engine models, displacement liters, certification levels, market applications, and engine types. We will then use these mappings to fetch suggested prices from the cu_suggested_prices_rer_engine entity based on the fuel rating HP.</w:t>
      </w:r>
    </w:p>
    <w:p/>
    <w:p>
      <w:r>
        <w:t>Next, we will compare the fetched pricing method values with the current price and pricing action from the cu_rer_engine_pricing entity. If the pricing method is value-based, the suggested future price equals the publish price plus the pricing method value. If the publish price is null, then the suggested future price equals the current price plus the pricing method value. On the other hand, if the pricing method is percentage-based, the suggested future price equals the publish price multiplied by (1 + pricing method value / 100). If the publish price is null, then the suggested future price equals the current price multiplied by (1 + pricing method value / 100).</w:t>
      </w:r>
    </w:p>
    <w:p/>
    <w:p>
      <w:r>
        <w:t>With these calculations complete, we will update the cu_rer_engine_pricing entity with the following attributes: engine model, displacement liters, certification level, market application, engine type, fuel rating HP, technical configuration, marketing configuration, and suggested future price. This update is based on the fuel rating HP, technical configuration, and marketing configuration.</w:t>
      </w:r>
    </w:p>
    <w:p/>
    <w:p>
      <w:r>
        <w:t>After completing this step, we will check if the fetched pricing action from the cu_rer_engine_pricing entity is blank or null. If it is, then we will update it with the fetched ID value from the p_pricing_action entity where the code equals 'None'.</w:t>
      </w:r>
    </w:p>
    <w:p/>
    <w:p>
      <w:r>
        <w:t>The final step in our process involves creating a standard response structure that includes operation, data, and other relevant information. The operation will be an update or insert, depending on whether new data was added to the cu_rer_engine_pricing entity. The data section will include column names and corresponding values for each entity affected by the update. Finally, the response structure will also include a list of standard responses that indicate successful updates or inserts.</w:t>
      </w:r>
    </w:p>
    <w:p/>
    <w:p>
      <w:r>
        <w:t>Once our process has completed all these steps, we will have successfully updated pricing information in our system based on new sales transactions and market trends. Processing stops here, but we may need to trigger another service if there are any changes to the product configuration or other relevant factors.</w:t>
      </w:r>
    </w:p>
    <w:p/>
    <w:p>
      <w:r>
        <w:t>This conclusion marks the end of our pricing review process for the submitted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