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lb4y3g4ncvc" w:id="0"/>
      <w:bookmarkEnd w:id="0"/>
      <w:r w:rsidDel="00000000" w:rsidR="00000000" w:rsidRPr="00000000">
        <w:rPr>
          <w:b w:val="1"/>
          <w:bCs w:val="1"/>
          <w:sz w:val="34"/>
          <w:szCs w:val="34"/>
          <w:rtl w:val="0"/>
        </w:rPr>
        <w:t xml:space="preserve">Dynamic Capitation Rate Setting &amp; Risk Tier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CapitationRateSettingService (v1)</w:t>
      </w:r>
      <w:r w:rsidDel="00000000" w:rsidR="00000000" w:rsidRPr="00000000">
        <w:rPr>
          <w:rtl w:val="0"/>
        </w:rPr>
        <w:t xml:space="preserve"> automates dynamic per-member per-month (PMPM) premium adjustments and financial risk matrix validation whenever an annualized managed care contract payload is submitted for initial processing. Upon initialization, the orchestration engine must immediately pull three critical tracking keys from the ingestion payload: the </w:t>
      </w:r>
      <w:r w:rsidDel="00000000" w:rsidR="00000000" w:rsidRPr="00000000">
        <w:rPr>
          <w:b w:val="1"/>
          <w:bCs w:val="1"/>
          <w:rtl w:val="0"/>
        </w:rPr>
        <w:t xml:space="preserve">Payer Organization ID (</w:t>
      </w:r>
      <w:r w:rsidDel="00000000" w:rsidR="00000000" w:rsidRPr="00000000">
        <w:rPr>
          <w:rFonts w:ascii="Roboto Mono" w:cs="Roboto Mono" w:eastAsia="Roboto Mono" w:hAnsi="Roboto Mono"/>
          <w:b w:val="1"/>
          <w:bCs w:val="1"/>
          <w:color w:val="188038"/>
          <w:rtl w:val="0"/>
        </w:rPr>
        <w:t xml:space="preserve">payerOrganizationId</w:t>
      </w:r>
      <w:r w:rsidDel="00000000" w:rsidR="00000000" w:rsidRPr="00000000">
        <w:rPr>
          <w:b w:val="1"/>
          <w:bCs w:val="1"/>
          <w:rtl w:val="0"/>
        </w:rPr>
        <w:t xml:space="preserve">)</w:t>
      </w:r>
      <w:r w:rsidDel="00000000" w:rsidR="00000000" w:rsidRPr="00000000">
        <w:rPr>
          <w:rtl w:val="0"/>
        </w:rPr>
        <w:t xml:space="preserve"> to map regional insurance hierarchies, the </w:t>
      </w:r>
      <w:r w:rsidDel="00000000" w:rsidR="00000000" w:rsidRPr="00000000">
        <w:rPr>
          <w:b w:val="1"/>
          <w:bCs w:val="1"/>
          <w:rtl w:val="0"/>
        </w:rPr>
        <w:t xml:space="preserve">Base Capitation Budget (</w:t>
      </w:r>
      <w:r w:rsidDel="00000000" w:rsidR="00000000" w:rsidRPr="00000000">
        <w:rPr>
          <w:rFonts w:ascii="Roboto Mono" w:cs="Roboto Mono" w:eastAsia="Roboto Mono" w:hAnsi="Roboto Mono"/>
          <w:b w:val="1"/>
          <w:bCs w:val="1"/>
          <w:color w:val="188038"/>
          <w:rtl w:val="0"/>
        </w:rPr>
        <w:t xml:space="preserve">baseCapitationBudget</w:t>
      </w:r>
      <w:r w:rsidDel="00000000" w:rsidR="00000000" w:rsidRPr="00000000">
        <w:rPr>
          <w:b w:val="1"/>
          <w:bCs w:val="1"/>
          <w:rtl w:val="0"/>
        </w:rPr>
        <w:t xml:space="preserve">)</w:t>
      </w:r>
      <w:r w:rsidDel="00000000" w:rsidR="00000000" w:rsidRPr="00000000">
        <w:rPr>
          <w:rtl w:val="0"/>
        </w:rPr>
        <w:t xml:space="preserve"> to establish the baseline funding pool, and the </w:t>
      </w:r>
      <w:r w:rsidDel="00000000" w:rsidR="00000000" w:rsidRPr="00000000">
        <w:rPr>
          <w:b w:val="1"/>
          <w:bCs w:val="1"/>
          <w:rtl w:val="0"/>
        </w:rPr>
        <w:t xml:space="preserve">Clinical Program Identifier (</w:t>
      </w:r>
      <w:r w:rsidDel="00000000" w:rsidR="00000000" w:rsidRPr="00000000">
        <w:rPr>
          <w:rFonts w:ascii="Roboto Mono" w:cs="Roboto Mono" w:eastAsia="Roboto Mono" w:hAnsi="Roboto Mono"/>
          <w:b w:val="1"/>
          <w:bCs w:val="1"/>
          <w:color w:val="188038"/>
          <w:rtl w:val="0"/>
        </w:rPr>
        <w:t xml:space="preserve">clinicalProgramId</w:t>
      </w:r>
      <w:r w:rsidDel="00000000" w:rsidR="00000000" w:rsidRPr="00000000">
        <w:rPr>
          <w:b w:val="1"/>
          <w:bCs w:val="1"/>
          <w:rtl w:val="0"/>
        </w:rPr>
        <w:t xml:space="preserve">)</w:t>
      </w:r>
      <w:r w:rsidDel="00000000" w:rsidR="00000000" w:rsidRPr="00000000">
        <w:rPr>
          <w:rtl w:val="0"/>
        </w:rPr>
        <w:t xml:space="preserve"> to identify standardized programmatic treatment variables. If any of these parameter keys are missing from the input request context, the program breaks instantly at the gate and throws an initialization exception, protecting our financial ledgers from processing broken or incomplete files.</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data validation succeeds, the transaction progresses through a step-by-step background validation pipeline. It first triggers the </w:t>
      </w:r>
      <w:r w:rsidDel="00000000" w:rsidR="00000000" w:rsidRPr="00000000">
        <w:rPr>
          <w:rFonts w:ascii="Roboto Mono" w:cs="Roboto Mono" w:eastAsia="Roboto Mono" w:hAnsi="Roboto Mono"/>
          <w:color w:val="188038"/>
          <w:rtl w:val="0"/>
        </w:rPr>
        <w:t xml:space="preserve">PayerRegistryService (v1)</w:t>
      </w:r>
      <w:r w:rsidDel="00000000" w:rsidR="00000000" w:rsidRPr="00000000">
        <w:rPr>
          <w:rtl w:val="0"/>
        </w:rPr>
        <w:t xml:space="preserve"> to pull the insurance group's regional enrollment status and compliance tier history, forcing the </w:t>
      </w:r>
      <w:r w:rsidDel="00000000" w:rsidR="00000000" w:rsidRPr="00000000">
        <w:rPr>
          <w:rFonts w:ascii="Roboto Mono" w:cs="Roboto Mono" w:eastAsia="Roboto Mono" w:hAnsi="Roboto Mono"/>
          <w:color w:val="188038"/>
          <w:rtl w:val="0"/>
        </w:rPr>
        <w:t xml:space="preserve">payerOrganizationId</w:t>
      </w:r>
      <w:r w:rsidDel="00000000" w:rsidR="00000000" w:rsidRPr="00000000">
        <w:rPr>
          <w:rtl w:val="0"/>
        </w:rPr>
        <w:t xml:space="preserve"> into the outbound payload map if it is missing. It then connects to the </w:t>
      </w:r>
      <w:r w:rsidDel="00000000" w:rsidR="00000000" w:rsidRPr="00000000">
        <w:rPr>
          <w:rFonts w:ascii="Roboto Mono" w:cs="Roboto Mono" w:eastAsia="Roboto Mono" w:hAnsi="Roboto Mono"/>
          <w:color w:val="188038"/>
          <w:rtl w:val="0"/>
        </w:rPr>
        <w:t xml:space="preserve">ActuarialRiskProfilingService (v1)</w:t>
      </w:r>
      <w:r w:rsidDel="00000000" w:rsidR="00000000" w:rsidRPr="00000000">
        <w:rPr>
          <w:rtl w:val="0"/>
        </w:rPr>
        <w:t xml:space="preserve"> to retrieve population health risk tier codes and verify maximum programmatic utilization limits. Following these microservice evaluations, the system streams records from the </w:t>
      </w:r>
      <w:r w:rsidDel="00000000" w:rsidR="00000000" w:rsidRPr="00000000">
        <w:rPr>
          <w:rFonts w:ascii="Roboto Mono" w:cs="Roboto Mono" w:eastAsia="Roboto Mono" w:hAnsi="Roboto Mono"/>
          <w:color w:val="188038"/>
          <w:rtl w:val="0"/>
        </w:rPr>
        <w:t xml:space="preserve">CapitationRateMatrix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clinicalProgramId</w:t>
      </w:r>
      <w:r w:rsidDel="00000000" w:rsidR="00000000" w:rsidRPr="00000000">
        <w:rPr>
          <w:rtl w:val="0"/>
        </w:rPr>
        <w:t xml:space="preserve"> to isolate the unique tracking identifier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current program's maximum allowable PMPM allocation cap (</w:t>
      </w:r>
      <w:r w:rsidDel="00000000" w:rsidR="00000000" w:rsidRPr="00000000">
        <w:rPr>
          <w:rFonts w:ascii="Roboto Mono" w:cs="Roboto Mono" w:eastAsia="Roboto Mono" w:hAnsi="Roboto Mono"/>
          <w:color w:val="188038"/>
          <w:rtl w:val="0"/>
        </w:rPr>
        <w:t xml:space="preserve">max_pmpm_cap_amount</w:t>
      </w:r>
      <w:r w:rsidDel="00000000" w:rsidR="00000000" w:rsidRPr="00000000">
        <w:rPr>
          <w:rtl w:val="0"/>
        </w:rPr>
        <w:t xml:space="preserve">). Finally, the system references the risk tier code extracted during the second step to query the </w:t>
      </w:r>
      <w:r w:rsidDel="00000000" w:rsidR="00000000" w:rsidRPr="00000000">
        <w:rPr>
          <w:rFonts w:ascii="Roboto Mono" w:cs="Roboto Mono" w:eastAsia="Roboto Mono" w:hAnsi="Roboto Mono"/>
          <w:color w:val="188038"/>
          <w:rtl w:val="0"/>
        </w:rPr>
        <w:t xml:space="preserve">RegionalSurchargeRules</w:t>
      </w:r>
      <w:r w:rsidDel="00000000" w:rsidR="00000000" w:rsidRPr="00000000">
        <w:rPr>
          <w:rtl w:val="0"/>
        </w:rPr>
        <w:t xml:space="preserve"> database table and pull the corresponding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executing final capitation contract rates or passing financial allocation updates to the corporate ledger, the system routes the transaction context through a strict cost-mitigation gate. If the payer group’s profile reveals that their contract status is </w:t>
      </w:r>
      <w:r w:rsidDel="00000000" w:rsidR="00000000" w:rsidRPr="00000000">
        <w:rPr>
          <w:rFonts w:ascii="Roboto Mono" w:cs="Roboto Mono" w:eastAsia="Roboto Mono" w:hAnsi="Roboto Mono"/>
          <w:b w:val="1"/>
          <w:bCs w:val="1"/>
          <w:color w:val="188038"/>
          <w:rtl w:val="0"/>
        </w:rPr>
        <w:t xml:space="preserve">"LAPSED"</w:t>
      </w:r>
      <w:r w:rsidDel="00000000" w:rsidR="00000000" w:rsidRPr="00000000">
        <w:rPr>
          <w:rtl w:val="0"/>
        </w:rPr>
        <w:t xml:space="preserve"> or if the risk engine flags an extreme actuarial variance anomaly (</w:t>
      </w:r>
      <w:r w:rsidDel="00000000" w:rsidR="00000000" w:rsidRPr="00000000">
        <w:rPr>
          <w:rFonts w:ascii="Roboto Mono" w:cs="Roboto Mono" w:eastAsia="Roboto Mono" w:hAnsi="Roboto Mono"/>
          <w:b w:val="1"/>
          <w:bCs w:val="1"/>
          <w:color w:val="188038"/>
          <w:rtl w:val="0"/>
        </w:rPr>
        <w:t xml:space="preserve">extremeActuarialVarianceFlag</w:t>
      </w:r>
      <w:r w:rsidDel="00000000" w:rsidR="00000000" w:rsidRPr="00000000">
        <w:rPr>
          <w:b w:val="1"/>
          <w:bCs w:val="1"/>
          <w:rtl w:val="0"/>
        </w:rPr>
        <w:t xml:space="preserve"> is true</w:t>
      </w:r>
      <w:r w:rsidDel="00000000" w:rsidR="00000000" w:rsidRPr="00000000">
        <w:rPr>
          <w:rtl w:val="0"/>
        </w:rPr>
        <w:t xml:space="preserve">), automated pricing updates are instantly aborted. The transaction is diverted away from the standard automated clearing track and routed directly to the </w:t>
      </w:r>
      <w:r w:rsidDel="00000000" w:rsidR="00000000" w:rsidRPr="00000000">
        <w:rPr>
          <w:b w:val="1"/>
          <w:bCs w:val="1"/>
          <w:rtl w:val="0"/>
        </w:rPr>
        <w:t xml:space="preserve">ActuarialReviewBoardService (v1)</w:t>
      </w:r>
      <w:r w:rsidDel="00000000" w:rsidR="00000000" w:rsidRPr="00000000">
        <w:rPr>
          <w:rtl w:val="0"/>
        </w:rPr>
        <w:t xml:space="preserve"> for a manual, high-tier forensic audit. Simultaneously, the engine executes a database lockdown sequence on the </w:t>
      </w:r>
      <w:r w:rsidDel="00000000" w:rsidR="00000000" w:rsidRPr="00000000">
        <w:rPr>
          <w:rFonts w:ascii="Roboto Mono" w:cs="Roboto Mono" w:eastAsia="Roboto Mono" w:hAnsi="Roboto Mono"/>
          <w:color w:val="188038"/>
          <w:rtl w:val="0"/>
        </w:rPr>
        <w:t xml:space="preserve">CapitationRateMatrix</w:t>
      </w:r>
      <w:r w:rsidDel="00000000" w:rsidR="00000000" w:rsidRPr="00000000">
        <w:rPr>
          <w:rtl w:val="0"/>
        </w:rPr>
        <w:t xml:space="preserve"> record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resetting the record's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"ACTUARIAL_HOLD"</w:t>
      </w:r>
      <w:r w:rsidDel="00000000" w:rsidR="00000000" w:rsidRPr="00000000">
        <w:rPr>
          <w:rtl w:val="0"/>
        </w:rPr>
        <w:t xml:space="preserve">, appending a processing outcome log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the implementation precisely matches our actuarial pricing models and structural compliance rules, the automated testing suite must validate three distinct configurations.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submits an empty orchestration context map to verify that the system breaks immediately at the gate instead of passing null variables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passes valid contract identifiers but stubs the actuarial risk check to return an extreme variance flag, checking that the system skips standard optimization logic, routes to the review board, and stamps database record </w:t>
      </w:r>
      <w:r w:rsidDel="00000000" w:rsidR="00000000" w:rsidRPr="00000000">
        <w:rPr>
          <w:rFonts w:ascii="Roboto Mono" w:cs="Roboto Mono" w:eastAsia="Roboto Mono" w:hAnsi="Roboto Mono"/>
          <w:color w:val="188038"/>
          <w:rtl w:val="0"/>
        </w:rPr>
        <w:t xml:space="preserve">"mock-uuid-444-fff"</w:t>
      </w:r>
      <w:r w:rsidDel="00000000" w:rsidR="00000000" w:rsidRPr="00000000">
        <w:rPr>
          <w:rtl w:val="0"/>
        </w:rPr>
        <w:t xml:space="preserve"> as an </w:t>
      </w:r>
      <w:r w:rsidDel="00000000" w:rsidR="00000000" w:rsidRPr="00000000">
        <w:rPr>
          <w:rFonts w:ascii="Roboto Mono" w:cs="Roboto Mono" w:eastAsia="Roboto Mono" w:hAnsi="Roboto Mono"/>
          <w:color w:val="188038"/>
          <w:rtl w:val="0"/>
        </w:rPr>
        <w:t xml:space="preserve">"ACTUARIAL_HOLD"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TC_003_LAPSED_CONTRACT_ROUTE</w:t>
      </w:r>
      <w:r w:rsidDel="00000000" w:rsidR="00000000" w:rsidRPr="00000000">
        <w:rPr>
          <w:b w:val="1"/>
          <w:bCs w:val="1"/>
          <w:rtl w:val="0"/>
        </w:rPr>
        <w:t xml:space="preserve">)</w:t>
      </w:r>
      <w:r w:rsidDel="00000000" w:rsidR="00000000" w:rsidRPr="00000000">
        <w:rPr>
          <w:rtl w:val="0"/>
        </w:rPr>
        <w:t xml:space="preserve"> uses identical payload parameters but maps the payer profile status to </w:t>
      </w:r>
      <w:r w:rsidDel="00000000" w:rsidR="00000000" w:rsidRPr="00000000">
        <w:rPr>
          <w:rFonts w:ascii="Roboto Mono" w:cs="Roboto Mono" w:eastAsia="Roboto Mono" w:hAnsi="Roboto Mono"/>
          <w:color w:val="188038"/>
          <w:rtl w:val="0"/>
        </w:rPr>
        <w:t xml:space="preserve">"LAPSED"</w:t>
      </w:r>
      <w:r w:rsidDel="00000000" w:rsidR="00000000" w:rsidRPr="00000000">
        <w:rPr>
          <w:rtl w:val="0"/>
        </w:rPr>
        <w:t xml:space="preserve">, confirming that inactive contracts trigger the exact same routing restrictions and database freeze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