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4akvufqgcz3" w:id="0"/>
      <w:bookmarkEnd w:id="0"/>
      <w:r w:rsidDel="00000000" w:rsidR="00000000" w:rsidRPr="00000000">
        <w:rPr>
          <w:b w:val="1"/>
          <w:bCs w:val="1"/>
          <w:sz w:val="34"/>
          <w:szCs w:val="34"/>
          <w:rtl w:val="0"/>
        </w:rPr>
        <w:t xml:space="preserve">Dynamic Provider Tier Allocation &amp; Reimbursement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ProviderReimbursementService (v1)</w:t>
      </w:r>
      <w:r w:rsidDel="00000000" w:rsidR="00000000" w:rsidRPr="00000000">
        <w:rPr>
          <w:rtl w:val="0"/>
        </w:rPr>
        <w:t xml:space="preserve"> automates dynamic clinical fee-schedule adjustment calculations and contracted rate validation whenever an institutional medical invoice is submitted for clearance. Upon initialization, the orchestration engine must immediately pull three critical tracking keys from the ingestion payload: the </w:t>
      </w:r>
      <w:r w:rsidDel="00000000" w:rsidR="00000000" w:rsidRPr="00000000">
        <w:rPr>
          <w:b w:val="1"/>
          <w:bCs w:val="1"/>
          <w:rtl w:val="0"/>
        </w:rPr>
        <w:t xml:space="preserve">Network Facility ID (</w:t>
      </w:r>
      <w:r w:rsidDel="00000000" w:rsidR="00000000" w:rsidRPr="00000000">
        <w:rPr>
          <w:rFonts w:ascii="Roboto Mono" w:cs="Roboto Mono" w:eastAsia="Roboto Mono" w:hAnsi="Roboto Mono"/>
          <w:b w:val="1"/>
          <w:bCs w:val="1"/>
          <w:color w:val="188038"/>
          <w:rtl w:val="0"/>
        </w:rPr>
        <w:t xml:space="preserve">networkFacilityId</w:t>
      </w:r>
      <w:r w:rsidDel="00000000" w:rsidR="00000000" w:rsidRPr="00000000">
        <w:rPr>
          <w:b w:val="1"/>
          <w:bCs w:val="1"/>
          <w:rtl w:val="0"/>
        </w:rPr>
        <w:t xml:space="preserve">)</w:t>
      </w:r>
      <w:r w:rsidDel="00000000" w:rsidR="00000000" w:rsidRPr="00000000">
        <w:rPr>
          <w:rtl w:val="0"/>
        </w:rPr>
        <w:t xml:space="preserve"> to map contract hierarchies, the </w:t>
      </w:r>
      <w:r w:rsidDel="00000000" w:rsidR="00000000" w:rsidRPr="00000000">
        <w:rPr>
          <w:b w:val="1"/>
          <w:bCs w:val="1"/>
          <w:rtl w:val="0"/>
        </w:rPr>
        <w:t xml:space="preserve">Gross Invoice Amount (</w:t>
      </w:r>
      <w:r w:rsidDel="00000000" w:rsidR="00000000" w:rsidRPr="00000000">
        <w:rPr>
          <w:rFonts w:ascii="Roboto Mono" w:cs="Roboto Mono" w:eastAsia="Roboto Mono" w:hAnsi="Roboto Mono"/>
          <w:b w:val="1"/>
          <w:bCs w:val="1"/>
          <w:color w:val="188038"/>
          <w:rtl w:val="0"/>
        </w:rPr>
        <w:t xml:space="preserve">grossInvoiceAmount</w:t>
      </w:r>
      <w:r w:rsidDel="00000000" w:rsidR="00000000" w:rsidRPr="00000000">
        <w:rPr>
          <w:b w:val="1"/>
          <w:bCs w:val="1"/>
          <w:rtl w:val="0"/>
        </w:rPr>
        <w:t xml:space="preserve">)</w:t>
      </w:r>
      <w:r w:rsidDel="00000000" w:rsidR="00000000" w:rsidRPr="00000000">
        <w:rPr>
          <w:rtl w:val="0"/>
        </w:rPr>
        <w:t xml:space="preserve"> to establish the primary billing baseline, and the </w:t>
      </w:r>
      <w:r w:rsidDel="00000000" w:rsidR="00000000" w:rsidRPr="00000000">
        <w:rPr>
          <w:b w:val="1"/>
          <w:bCs w:val="1"/>
          <w:rtl w:val="0"/>
        </w:rPr>
        <w:t xml:space="preserve">Procedure Billing Code (</w:t>
      </w:r>
      <w:r w:rsidDel="00000000" w:rsidR="00000000" w:rsidRPr="00000000">
        <w:rPr>
          <w:rFonts w:ascii="Roboto Mono" w:cs="Roboto Mono" w:eastAsia="Roboto Mono" w:hAnsi="Roboto Mono"/>
          <w:b w:val="1"/>
          <w:bCs w:val="1"/>
          <w:color w:val="188038"/>
          <w:rtl w:val="0"/>
        </w:rPr>
        <w:t xml:space="preserve">procedureBilling Code</w:t>
      </w:r>
      <w:r w:rsidDel="00000000" w:rsidR="00000000" w:rsidRPr="00000000">
        <w:rPr>
          <w:b w:val="1"/>
          <w:bCs w:val="1"/>
          <w:rtl w:val="0"/>
        </w:rPr>
        <w:t xml:space="preserve">)</w:t>
      </w:r>
      <w:r w:rsidDel="00000000" w:rsidR="00000000" w:rsidRPr="00000000">
        <w:rPr>
          <w:rtl w:val="0"/>
        </w:rPr>
        <w:t xml:space="preserve"> to identify standardized operational variables. If any of these parameter keys are missing from the input request context, the program breaks instantly at the gate and throws an initialization exception, protecting our financial ledgers from processing unvalidated or broken files.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data validation succeeds, the transaction progresses through a step-by-step background validation pipeline. It first triggers the </w:t>
      </w:r>
      <w:r w:rsidDel="00000000" w:rsidR="00000000" w:rsidRPr="00000000">
        <w:rPr>
          <w:rFonts w:ascii="Roboto Mono" w:cs="Roboto Mono" w:eastAsia="Roboto Mono" w:hAnsi="Roboto Mono"/>
          <w:color w:val="188038"/>
          <w:rtl w:val="0"/>
        </w:rPr>
        <w:t xml:space="preserve">FacilityContractRegistryService (v1)</w:t>
      </w:r>
      <w:r w:rsidDel="00000000" w:rsidR="00000000" w:rsidRPr="00000000">
        <w:rPr>
          <w:rtl w:val="0"/>
        </w:rPr>
        <w:t xml:space="preserve"> to pull the provider’s regional enrollment status and performance tier history, forcing the </w:t>
      </w:r>
      <w:r w:rsidDel="00000000" w:rsidR="00000000" w:rsidRPr="00000000">
        <w:rPr>
          <w:rFonts w:ascii="Roboto Mono" w:cs="Roboto Mono" w:eastAsia="Roboto Mono" w:hAnsi="Roboto Mono"/>
          <w:color w:val="188038"/>
          <w:rtl w:val="0"/>
        </w:rPr>
        <w:t xml:space="preserve">networkFacilityId</w:t>
      </w:r>
      <w:r w:rsidDel="00000000" w:rsidR="00000000" w:rsidRPr="00000000">
        <w:rPr>
          <w:rtl w:val="0"/>
        </w:rPr>
        <w:t xml:space="preserve"> into the outbound payload map if it is missing. It then connects to the </w:t>
      </w:r>
      <w:r w:rsidDel="00000000" w:rsidR="00000000" w:rsidRPr="00000000">
        <w:rPr>
          <w:rFonts w:ascii="Roboto Mono" w:cs="Roboto Mono" w:eastAsia="Roboto Mono" w:hAnsi="Roboto Mono"/>
          <w:color w:val="188038"/>
          <w:rtl w:val="0"/>
        </w:rPr>
        <w:t xml:space="preserve">ClinicalComplianceService (v1)</w:t>
      </w:r>
      <w:r w:rsidDel="00000000" w:rsidR="00000000" w:rsidRPr="00000000">
        <w:rPr>
          <w:rtl w:val="0"/>
        </w:rPr>
        <w:t xml:space="preserve"> to retrieve medical necessity tier codes and verify maximum utilization limit parameters. Following these microservice evaluations, the system streams records from the </w:t>
      </w:r>
      <w:r w:rsidDel="00000000" w:rsidR="00000000" w:rsidRPr="00000000">
        <w:rPr>
          <w:rFonts w:ascii="Roboto Mono" w:cs="Roboto Mono" w:eastAsia="Roboto Mono" w:hAnsi="Roboto Mono"/>
          <w:color w:val="188038"/>
          <w:rtl w:val="0"/>
        </w:rPr>
        <w:t xml:space="preserve">ReimbursementCapMatrix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procedureBillingCode</w:t>
      </w:r>
      <w:r w:rsidDel="00000000" w:rsidR="00000000" w:rsidRPr="00000000">
        <w:rPr>
          <w:rtl w:val="0"/>
        </w:rPr>
        <w:t xml:space="preserve"> to isolate the unique tracking identifier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current procedure's maximum allowable contracted cap (</w:t>
      </w:r>
      <w:r w:rsidDel="00000000" w:rsidR="00000000" w:rsidRPr="00000000">
        <w:rPr>
          <w:rFonts w:ascii="Roboto Mono" w:cs="Roboto Mono" w:eastAsia="Roboto Mono" w:hAnsi="Roboto Mono"/>
          <w:color w:val="188038"/>
          <w:rtl w:val="0"/>
        </w:rPr>
        <w:t xml:space="preserve">max_reimbursement_cap_amount</w:t>
      </w:r>
      <w:r w:rsidDel="00000000" w:rsidR="00000000" w:rsidRPr="00000000">
        <w:rPr>
          <w:rtl w:val="0"/>
        </w:rPr>
        <w:t xml:space="preserve">). Finally, the system references the clinical compliance tier code extracted during the second step to query the </w:t>
      </w:r>
      <w:r w:rsidDel="00000000" w:rsidR="00000000" w:rsidRPr="00000000">
        <w:rPr>
          <w:rFonts w:ascii="Roboto Mono" w:cs="Roboto Mono" w:eastAsia="Roboto Mono" w:hAnsi="Roboto Mono"/>
          <w:color w:val="188038"/>
          <w:rtl w:val="0"/>
        </w:rPr>
        <w:t xml:space="preserve">RegionalRegulatorySurcharge</w:t>
      </w:r>
      <w:r w:rsidDel="00000000" w:rsidR="00000000" w:rsidRPr="00000000">
        <w:rPr>
          <w:rtl w:val="0"/>
        </w:rPr>
        <w:t xml:space="preserve"> database table and pull the corresponding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executing final reimbursement payouts or passing values to the financial ledger, the system routes the transaction context through a strict risk-scoring gate. If the facility’s profile reveals that their contract status is </w:t>
      </w:r>
      <w:r w:rsidDel="00000000" w:rsidR="00000000" w:rsidRPr="00000000">
        <w:rPr>
          <w:rFonts w:ascii="Roboto Mono" w:cs="Roboto Mono" w:eastAsia="Roboto Mono" w:hAnsi="Roboto Mono"/>
          <w:b w:val="1"/>
          <w:bCs w:val="1"/>
          <w:color w:val="188038"/>
          <w:rtl w:val="0"/>
        </w:rPr>
        <w:t xml:space="preserve">"SUSPENDED"</w:t>
      </w:r>
      <w:r w:rsidDel="00000000" w:rsidR="00000000" w:rsidRPr="00000000">
        <w:rPr>
          <w:rtl w:val="0"/>
        </w:rPr>
        <w:t xml:space="preserve"> or if the compliance engine flags an extreme bill-code variance anomaly (</w:t>
      </w:r>
      <w:r w:rsidDel="00000000" w:rsidR="00000000" w:rsidRPr="00000000">
        <w:rPr>
          <w:rFonts w:ascii="Roboto Mono" w:cs="Roboto Mono" w:eastAsia="Roboto Mono" w:hAnsi="Roboto Mono"/>
          <w:b w:val="1"/>
          <w:bCs w:val="1"/>
          <w:color w:val="188038"/>
          <w:rtl w:val="0"/>
        </w:rPr>
        <w:t xml:space="preserve">extremeVarianceFlag</w:t>
      </w:r>
      <w:r w:rsidDel="00000000" w:rsidR="00000000" w:rsidRPr="00000000">
        <w:rPr>
          <w:b w:val="1"/>
          <w:bCs w:val="1"/>
          <w:rtl w:val="0"/>
        </w:rPr>
        <w:t xml:space="preserve"> is true</w:t>
      </w:r>
      <w:r w:rsidDel="00000000" w:rsidR="00000000" w:rsidRPr="00000000">
        <w:rPr>
          <w:rtl w:val="0"/>
        </w:rPr>
        <w:t xml:space="preserve">), automated pricing calculations are instantly aborted. The transaction is diverted away from the standard automated clearing track and routed directly to the </w:t>
      </w:r>
      <w:r w:rsidDel="00000000" w:rsidR="00000000" w:rsidRPr="00000000">
        <w:rPr>
          <w:b w:val="1"/>
          <w:bCs w:val="1"/>
          <w:rtl w:val="0"/>
        </w:rPr>
        <w:t xml:space="preserve">ClinicalAuditReviewBoardService (v1)</w:t>
      </w:r>
      <w:r w:rsidDel="00000000" w:rsidR="00000000" w:rsidRPr="00000000">
        <w:rPr>
          <w:rtl w:val="0"/>
        </w:rPr>
        <w:t xml:space="preserve"> for a manual, high-tier forensic audit. Simultaneously, the engine executes a database lockdown sequence on the </w:t>
      </w:r>
      <w:r w:rsidDel="00000000" w:rsidR="00000000" w:rsidRPr="00000000">
        <w:rPr>
          <w:rFonts w:ascii="Roboto Mono" w:cs="Roboto Mono" w:eastAsia="Roboto Mono" w:hAnsi="Roboto Mono"/>
          <w:color w:val="188038"/>
          <w:rtl w:val="0"/>
        </w:rPr>
        <w:t xml:space="preserve">ReimbursementCapMatrix</w:t>
      </w:r>
      <w:r w:rsidDel="00000000" w:rsidR="00000000" w:rsidRPr="00000000">
        <w:rPr>
          <w:rtl w:val="0"/>
        </w:rPr>
        <w:t xml:space="preserve"> record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resetting the record's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"REIMBURSEMENT_HOLD"</w:t>
      </w:r>
      <w:r w:rsidDel="00000000" w:rsidR="00000000" w:rsidRPr="00000000">
        <w:rPr>
          <w:rtl w:val="0"/>
        </w:rPr>
        <w:t xml:space="preserve">, appending a processing outcome log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the implementation precisely matches our actuarial pricing models and structural compliance rules, the automated testing suite must validate three distinct configurations.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submits an empty orchestration context map to verify that the system breaks immediately at the gate instead of passing null variables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passes valid contract identifiers but stubs the clinical compliance check to return an extreme variance flag, checking that the system skips standard optimization logic, routes to the review board, and stamps database record </w:t>
      </w:r>
      <w:r w:rsidDel="00000000" w:rsidR="00000000" w:rsidRPr="00000000">
        <w:rPr>
          <w:rFonts w:ascii="Roboto Mono" w:cs="Roboto Mono" w:eastAsia="Roboto Mono" w:hAnsi="Roboto Mono"/>
          <w:color w:val="188038"/>
          <w:rtl w:val="0"/>
        </w:rPr>
        <w:t xml:space="preserve">"mock-uuid-666-ddd"</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"REIMBURSEMENT_HOLD"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TC_003_SUSPENDED_CONTRACT_ROUTE</w:t>
      </w:r>
      <w:r w:rsidDel="00000000" w:rsidR="00000000" w:rsidRPr="00000000">
        <w:rPr>
          <w:b w:val="1"/>
          <w:bCs w:val="1"/>
          <w:rtl w:val="0"/>
        </w:rPr>
        <w:t xml:space="preserve">)</w:t>
      </w:r>
      <w:r w:rsidDel="00000000" w:rsidR="00000000" w:rsidRPr="00000000">
        <w:rPr>
          <w:rtl w:val="0"/>
        </w:rPr>
        <w:t xml:space="preserve"> uses identical payload parameters but maps the provider profile status to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confirming that inactive contracts trigger the exact same routing restrictions and database freeze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