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l21fbl4m8qy2" w:id="0"/>
      <w:bookmarkEnd w:id="0"/>
      <w:r w:rsidDel="00000000" w:rsidR="00000000" w:rsidRPr="00000000">
        <w:rPr>
          <w:b w:val="1"/>
          <w:bCs w:val="1"/>
          <w:sz w:val="34"/>
          <w:szCs w:val="34"/>
          <w:rtl w:val="0"/>
        </w:rPr>
        <w:t xml:space="preserve">Dynamic Rebate Allocation &amp; Contractual Tier Guardrails</w:t>
      </w:r>
    </w:p>
    <w:p w:rsidR="00000000" w:rsidDel="00000000" w:rsidP="00000000" w:rsidRDefault="00000000" w:rsidRPr="00000000" w14:paraId="00000002">
      <w:pPr>
        <w:spacing w:after="240" w:before="240" w:lineRule="auto"/>
        <w:rPr/>
      </w:pPr>
      <w:r w:rsidDel="00000000" w:rsidR="00000000" w:rsidRPr="00000000">
        <w:rPr>
          <w:rtl w:val="0"/>
        </w:rPr>
        <w:t xml:space="preserve">The </w:t>
      </w:r>
      <w:r w:rsidDel="00000000" w:rsidR="00000000" w:rsidRPr="00000000">
        <w:rPr>
          <w:b w:val="1"/>
          <w:bCs w:val="1"/>
          <w:rtl w:val="0"/>
        </w:rPr>
        <w:t xml:space="preserve">RebateAllocationService (v1)</w:t>
      </w:r>
      <w:r w:rsidDel="00000000" w:rsidR="00000000" w:rsidRPr="00000000">
        <w:rPr>
          <w:rtl w:val="0"/>
        </w:rPr>
        <w:t xml:space="preserve"> automates dynamic manufacturer drug volume adjustment calculations and volume threshold validation whenever a bulk pharmacy procurement invoice is submitted for closing. Upon initialization, the orchestration engine must immediately pull three critical tracking keys from the ingestion payload: the </w:t>
      </w:r>
      <w:r w:rsidDel="00000000" w:rsidR="00000000" w:rsidRPr="00000000">
        <w:rPr>
          <w:b w:val="1"/>
          <w:bCs w:val="1"/>
          <w:rtl w:val="0"/>
        </w:rPr>
        <w:t xml:space="preserve">Wholesaler Account ID (</w:t>
      </w:r>
      <w:r w:rsidDel="00000000" w:rsidR="00000000" w:rsidRPr="00000000">
        <w:rPr>
          <w:rFonts w:ascii="Roboto Mono" w:cs="Roboto Mono" w:eastAsia="Roboto Mono" w:hAnsi="Roboto Mono"/>
          <w:b w:val="1"/>
          <w:bCs w:val="1"/>
          <w:color w:val="188038"/>
          <w:rtl w:val="0"/>
        </w:rPr>
        <w:t xml:space="preserve">wholesalerAccountId</w:t>
      </w:r>
      <w:r w:rsidDel="00000000" w:rsidR="00000000" w:rsidRPr="00000000">
        <w:rPr>
          <w:b w:val="1"/>
          <w:bCs w:val="1"/>
          <w:rtl w:val="0"/>
        </w:rPr>
        <w:t xml:space="preserve">)</w:t>
      </w:r>
      <w:r w:rsidDel="00000000" w:rsidR="00000000" w:rsidRPr="00000000">
        <w:rPr>
          <w:rtl w:val="0"/>
        </w:rPr>
        <w:t xml:space="preserve"> to map supply chain hierarchies, the </w:t>
      </w:r>
      <w:r w:rsidDel="00000000" w:rsidR="00000000" w:rsidRPr="00000000">
        <w:rPr>
          <w:b w:val="1"/>
          <w:bCs w:val="1"/>
          <w:rtl w:val="0"/>
        </w:rPr>
        <w:t xml:space="preserve">Total Purchase Volume (</w:t>
      </w:r>
      <w:r w:rsidDel="00000000" w:rsidR="00000000" w:rsidRPr="00000000">
        <w:rPr>
          <w:rFonts w:ascii="Roboto Mono" w:cs="Roboto Mono" w:eastAsia="Roboto Mono" w:hAnsi="Roboto Mono"/>
          <w:b w:val="1"/>
          <w:bCs w:val="1"/>
          <w:color w:val="188038"/>
          <w:rtl w:val="0"/>
        </w:rPr>
        <w:t xml:space="preserve">totalPurchaseVolume</w:t>
      </w:r>
      <w:r w:rsidDel="00000000" w:rsidR="00000000" w:rsidRPr="00000000">
        <w:rPr>
          <w:b w:val="1"/>
          <w:bCs w:val="1"/>
          <w:rtl w:val="0"/>
        </w:rPr>
        <w:t xml:space="preserve">)</w:t>
      </w:r>
      <w:r w:rsidDel="00000000" w:rsidR="00000000" w:rsidRPr="00000000">
        <w:rPr>
          <w:rtl w:val="0"/>
        </w:rPr>
        <w:t xml:space="preserve"> to establish the primary billing baseline, and the </w:t>
      </w:r>
      <w:r w:rsidDel="00000000" w:rsidR="00000000" w:rsidRPr="00000000">
        <w:rPr>
          <w:b w:val="1"/>
          <w:bCs w:val="1"/>
          <w:rtl w:val="0"/>
        </w:rPr>
        <w:t xml:space="preserve">Formulary Drug Identifier (</w:t>
      </w:r>
      <w:r w:rsidDel="00000000" w:rsidR="00000000" w:rsidRPr="00000000">
        <w:rPr>
          <w:rFonts w:ascii="Roboto Mono" w:cs="Roboto Mono" w:eastAsia="Roboto Mono" w:hAnsi="Roboto Mono"/>
          <w:b w:val="1"/>
          <w:bCs w:val="1"/>
          <w:color w:val="188038"/>
          <w:rtl w:val="0"/>
        </w:rPr>
        <w:t xml:space="preserve">formularyDrugId</w:t>
      </w:r>
      <w:r w:rsidDel="00000000" w:rsidR="00000000" w:rsidRPr="00000000">
        <w:rPr>
          <w:b w:val="1"/>
          <w:bCs w:val="1"/>
          <w:rtl w:val="0"/>
        </w:rPr>
        <w:t xml:space="preserve">)</w:t>
      </w:r>
      <w:r w:rsidDel="00000000" w:rsidR="00000000" w:rsidRPr="00000000">
        <w:rPr>
          <w:rtl w:val="0"/>
        </w:rPr>
        <w:t xml:space="preserve"> to identify standardized operational procurement variables. If any of these parameter keys are missing from the input request context, the program breaks instantly at the gate and throws an initialization exception, protecting our financial ledgers from processing broken or incomplete files.</w:t>
      </w:r>
    </w:p>
    <w:p w:rsidR="00000000" w:rsidDel="00000000" w:rsidP="00000000" w:rsidRDefault="00000000" w:rsidRPr="00000000" w14:paraId="00000003">
      <w:pPr>
        <w:spacing w:after="240" w:before="240" w:lineRule="auto"/>
        <w:rPr/>
      </w:pPr>
      <w:r w:rsidDel="00000000" w:rsidR="00000000" w:rsidRPr="00000000">
        <w:rPr>
          <w:rtl w:val="0"/>
        </w:rPr>
        <w:t xml:space="preserve">Once initial data validation succeeds, the transaction progresses through a step-by-step background validation pipeline. It first triggers the </w:t>
      </w:r>
      <w:r w:rsidDel="00000000" w:rsidR="00000000" w:rsidRPr="00000000">
        <w:rPr>
          <w:rFonts w:ascii="Roboto Mono" w:cs="Roboto Mono" w:eastAsia="Roboto Mono" w:hAnsi="Roboto Mono"/>
          <w:color w:val="188038"/>
          <w:rtl w:val="0"/>
        </w:rPr>
        <w:t xml:space="preserve">WholesalerRegistryService (v1)</w:t>
      </w:r>
      <w:r w:rsidDel="00000000" w:rsidR="00000000" w:rsidRPr="00000000">
        <w:rPr>
          <w:rtl w:val="0"/>
        </w:rPr>
        <w:t xml:space="preserve"> to pull the distributor's regional contract status and compliance tier history, forcing the </w:t>
      </w:r>
      <w:r w:rsidDel="00000000" w:rsidR="00000000" w:rsidRPr="00000000">
        <w:rPr>
          <w:rFonts w:ascii="Roboto Mono" w:cs="Roboto Mono" w:eastAsia="Roboto Mono" w:hAnsi="Roboto Mono"/>
          <w:color w:val="188038"/>
          <w:rtl w:val="0"/>
        </w:rPr>
        <w:t xml:space="preserve">wholesalerAccountId</w:t>
      </w:r>
      <w:r w:rsidDel="00000000" w:rsidR="00000000" w:rsidRPr="00000000">
        <w:rPr>
          <w:rtl w:val="0"/>
        </w:rPr>
        <w:t xml:space="preserve"> into the outbound payload map if it is missing. It then connects to the </w:t>
      </w:r>
      <w:r w:rsidDel="00000000" w:rsidR="00000000" w:rsidRPr="00000000">
        <w:rPr>
          <w:rFonts w:ascii="Roboto Mono" w:cs="Roboto Mono" w:eastAsia="Roboto Mono" w:hAnsi="Roboto Mono"/>
          <w:color w:val="188038"/>
          <w:rtl w:val="0"/>
        </w:rPr>
        <w:t xml:space="preserve">MarketShareComplianceService (v1)</w:t>
      </w:r>
      <w:r w:rsidDel="00000000" w:rsidR="00000000" w:rsidRPr="00000000">
        <w:rPr>
          <w:rtl w:val="0"/>
        </w:rPr>
        <w:t xml:space="preserve"> to retrieve market share tier codes and verify maximum manufacturer threshold parameters. Following these microservice evaluations, the system streams records from the </w:t>
      </w:r>
      <w:r w:rsidDel="00000000" w:rsidR="00000000" w:rsidRPr="00000000">
        <w:rPr>
          <w:rFonts w:ascii="Roboto Mono" w:cs="Roboto Mono" w:eastAsia="Roboto Mono" w:hAnsi="Roboto Mono"/>
          <w:color w:val="188038"/>
          <w:rtl w:val="0"/>
        </w:rPr>
        <w:t xml:space="preserve">RebateThresholdMatrix</w:t>
      </w:r>
      <w:r w:rsidDel="00000000" w:rsidR="00000000" w:rsidRPr="00000000">
        <w:rPr>
          <w:rtl w:val="0"/>
        </w:rPr>
        <w:t xml:space="preserve"> database table using a filter matching the </w:t>
      </w:r>
      <w:r w:rsidDel="00000000" w:rsidR="00000000" w:rsidRPr="00000000">
        <w:rPr>
          <w:rFonts w:ascii="Roboto Mono" w:cs="Roboto Mono" w:eastAsia="Roboto Mono" w:hAnsi="Roboto Mono"/>
          <w:color w:val="188038"/>
          <w:rtl w:val="0"/>
        </w:rPr>
        <w:t xml:space="preserve">formularyDrugId</w:t>
      </w:r>
      <w:r w:rsidDel="00000000" w:rsidR="00000000" w:rsidRPr="00000000">
        <w:rPr>
          <w:rtl w:val="0"/>
        </w:rPr>
        <w:t xml:space="preserve"> to isolate the unique tracking identifier (</w:t>
      </w:r>
      <w:r w:rsidDel="00000000" w:rsidR="00000000" w:rsidRPr="00000000">
        <w:rPr>
          <w:rFonts w:ascii="Roboto Mono" w:cs="Roboto Mono" w:eastAsia="Roboto Mono" w:hAnsi="Roboto Mono"/>
          <w:color w:val="188038"/>
          <w:rtl w:val="0"/>
        </w:rPr>
        <w:t xml:space="preserve">uuid</w:t>
      </w:r>
      <w:r w:rsidDel="00000000" w:rsidR="00000000" w:rsidRPr="00000000">
        <w:rPr>
          <w:rtl w:val="0"/>
        </w:rPr>
        <w:t xml:space="preserve">) and the current drug's maximum allowable rebate allocation percentage (</w:t>
      </w:r>
      <w:r w:rsidDel="00000000" w:rsidR="00000000" w:rsidRPr="00000000">
        <w:rPr>
          <w:rFonts w:ascii="Roboto Mono" w:cs="Roboto Mono" w:eastAsia="Roboto Mono" w:hAnsi="Roboto Mono"/>
          <w:color w:val="188038"/>
          <w:rtl w:val="0"/>
        </w:rPr>
        <w:t xml:space="preserve">max_rebate_percentage</w:t>
      </w:r>
      <w:r w:rsidDel="00000000" w:rsidR="00000000" w:rsidRPr="00000000">
        <w:rPr>
          <w:rtl w:val="0"/>
        </w:rPr>
        <w:t xml:space="preserve">). Finally, the system references the market compliance tier code extracted during the second step to query the </w:t>
      </w:r>
      <w:r w:rsidDel="00000000" w:rsidR="00000000" w:rsidRPr="00000000">
        <w:rPr>
          <w:rFonts w:ascii="Roboto Mono" w:cs="Roboto Mono" w:eastAsia="Roboto Mono" w:hAnsi="Roboto Mono"/>
          <w:color w:val="188038"/>
          <w:rtl w:val="0"/>
        </w:rPr>
        <w:t xml:space="preserve">RegionalTaxSurcharge</w:t>
      </w:r>
      <w:r w:rsidDel="00000000" w:rsidR="00000000" w:rsidRPr="00000000">
        <w:rPr>
          <w:rtl w:val="0"/>
        </w:rPr>
        <w:t xml:space="preserve"> database table and pull the corresponding regional </w:t>
      </w:r>
      <w:r w:rsidDel="00000000" w:rsidR="00000000" w:rsidRPr="00000000">
        <w:rPr>
          <w:rFonts w:ascii="Roboto Mono" w:cs="Roboto Mono" w:eastAsia="Roboto Mono" w:hAnsi="Roboto Mono"/>
          <w:color w:val="188038"/>
          <w:rtl w:val="0"/>
        </w:rPr>
        <w:t xml:space="preserve">tax_surcharge_percentage</w:t>
      </w:r>
      <w:r w:rsidDel="00000000" w:rsidR="00000000" w:rsidRPr="00000000">
        <w:rPr>
          <w:rtl w:val="0"/>
        </w:rPr>
        <w:t xml:space="preserve">.</w:t>
      </w:r>
    </w:p>
    <w:p w:rsidR="00000000" w:rsidDel="00000000" w:rsidP="00000000" w:rsidRDefault="00000000" w:rsidRPr="00000000" w14:paraId="00000004">
      <w:pPr>
        <w:spacing w:after="240" w:before="240" w:lineRule="auto"/>
        <w:rPr/>
      </w:pPr>
      <w:r w:rsidDel="00000000" w:rsidR="00000000" w:rsidRPr="00000000">
        <w:rPr>
          <w:rtl w:val="0"/>
        </w:rPr>
        <w:t xml:space="preserve">Before executing final rebate payouts or passing adjustment values to the wholesale ledger, the system routes the transaction context through a strict cost-mitigation gate. If the distributor’s profile reveals that their account status is </w:t>
      </w:r>
      <w:r w:rsidDel="00000000" w:rsidR="00000000" w:rsidRPr="00000000">
        <w:rPr>
          <w:rFonts w:ascii="Roboto Mono" w:cs="Roboto Mono" w:eastAsia="Roboto Mono" w:hAnsi="Roboto Mono"/>
          <w:b w:val="1"/>
          <w:bCs w:val="1"/>
          <w:color w:val="188038"/>
          <w:rtl w:val="0"/>
        </w:rPr>
        <w:t xml:space="preserve">"BREACH"</w:t>
      </w:r>
      <w:r w:rsidDel="00000000" w:rsidR="00000000" w:rsidRPr="00000000">
        <w:rPr>
          <w:rtl w:val="0"/>
        </w:rPr>
        <w:t xml:space="preserve"> or if the compliance engine flags an extreme volume variance anomaly (</w:t>
      </w:r>
      <w:r w:rsidDel="00000000" w:rsidR="00000000" w:rsidRPr="00000000">
        <w:rPr>
          <w:rFonts w:ascii="Roboto Mono" w:cs="Roboto Mono" w:eastAsia="Roboto Mono" w:hAnsi="Roboto Mono"/>
          <w:b w:val="1"/>
          <w:bCs w:val="1"/>
          <w:color w:val="188038"/>
          <w:rtl w:val="0"/>
        </w:rPr>
        <w:t xml:space="preserve">extremeVolumeVarianceFlag</w:t>
      </w:r>
      <w:r w:rsidDel="00000000" w:rsidR="00000000" w:rsidRPr="00000000">
        <w:rPr>
          <w:b w:val="1"/>
          <w:bCs w:val="1"/>
          <w:rtl w:val="0"/>
        </w:rPr>
        <w:t xml:space="preserve"> is true</w:t>
      </w:r>
      <w:r w:rsidDel="00000000" w:rsidR="00000000" w:rsidRPr="00000000">
        <w:rPr>
          <w:rtl w:val="0"/>
        </w:rPr>
        <w:t xml:space="preserve">), automated rebate pricing calculations are instantly aborted. The transaction is diverted away from the standard automated clearing track and routed directly to the </w:t>
      </w:r>
      <w:r w:rsidDel="00000000" w:rsidR="00000000" w:rsidRPr="00000000">
        <w:rPr>
          <w:b w:val="1"/>
          <w:bCs w:val="1"/>
          <w:rtl w:val="0"/>
        </w:rPr>
        <w:t xml:space="preserve">ContractReviewBoardService (v1)</w:t>
      </w:r>
      <w:r w:rsidDel="00000000" w:rsidR="00000000" w:rsidRPr="00000000">
        <w:rPr>
          <w:rtl w:val="0"/>
        </w:rPr>
        <w:t xml:space="preserve"> for a manual, high-tier forensic audit. Simultaneously, the engine executes a database lockdown sequence on the </w:t>
      </w:r>
      <w:r w:rsidDel="00000000" w:rsidR="00000000" w:rsidRPr="00000000">
        <w:rPr>
          <w:rFonts w:ascii="Roboto Mono" w:cs="Roboto Mono" w:eastAsia="Roboto Mono" w:hAnsi="Roboto Mono"/>
          <w:color w:val="188038"/>
          <w:rtl w:val="0"/>
        </w:rPr>
        <w:t xml:space="preserve">RebateThresholdMatrix</w:t>
      </w:r>
      <w:r w:rsidDel="00000000" w:rsidR="00000000" w:rsidRPr="00000000">
        <w:rPr>
          <w:rtl w:val="0"/>
        </w:rPr>
        <w:t xml:space="preserve"> record matching the streamed </w:t>
      </w:r>
      <w:r w:rsidDel="00000000" w:rsidR="00000000" w:rsidRPr="00000000">
        <w:rPr>
          <w:rFonts w:ascii="Roboto Mono" w:cs="Roboto Mono" w:eastAsia="Roboto Mono" w:hAnsi="Roboto Mono"/>
          <w:color w:val="188038"/>
          <w:rtl w:val="0"/>
        </w:rPr>
        <w:t xml:space="preserve">uuid</w:t>
      </w:r>
      <w:r w:rsidDel="00000000" w:rsidR="00000000" w:rsidRPr="00000000">
        <w:rPr>
          <w:rtl w:val="0"/>
        </w:rPr>
        <w:t xml:space="preserve">, resetting the record's </w:t>
      </w:r>
      <w:r w:rsidDel="00000000" w:rsidR="00000000" w:rsidRPr="00000000">
        <w:rPr>
          <w:rFonts w:ascii="Roboto Mono" w:cs="Roboto Mono" w:eastAsia="Roboto Mono" w:hAnsi="Roboto Mono"/>
          <w:color w:val="188038"/>
          <w:rtl w:val="0"/>
        </w:rPr>
        <w:t xml:space="preserve">adjudication_status</w:t>
      </w:r>
      <w:r w:rsidDel="00000000" w:rsidR="00000000" w:rsidRPr="00000000">
        <w:rPr>
          <w:rtl w:val="0"/>
        </w:rPr>
        <w:t xml:space="preserve"> to </w:t>
      </w:r>
      <w:r w:rsidDel="00000000" w:rsidR="00000000" w:rsidRPr="00000000">
        <w:rPr>
          <w:rFonts w:ascii="Roboto Mono" w:cs="Roboto Mono" w:eastAsia="Roboto Mono" w:hAnsi="Roboto Mono"/>
          <w:b w:val="1"/>
          <w:bCs w:val="1"/>
          <w:color w:val="188038"/>
          <w:rtl w:val="0"/>
        </w:rPr>
        <w:t xml:space="preserve">"REBATE_HOLD"</w:t>
      </w:r>
      <w:r w:rsidDel="00000000" w:rsidR="00000000" w:rsidRPr="00000000">
        <w:rPr>
          <w:rtl w:val="0"/>
        </w:rPr>
        <w:t xml:space="preserve">, appending a processing outcome log detailing the explicit compliance flag breach, and stamping it with the system's current date and time.</w:t>
      </w:r>
    </w:p>
    <w:p w:rsidR="00000000" w:rsidDel="00000000" w:rsidP="00000000" w:rsidRDefault="00000000" w:rsidRPr="00000000" w14:paraId="00000005">
      <w:pPr>
        <w:spacing w:after="240" w:before="240" w:lineRule="auto"/>
        <w:rPr/>
      </w:pPr>
      <w:r w:rsidDel="00000000" w:rsidR="00000000" w:rsidRPr="00000000">
        <w:rPr>
          <w:rtl w:val="0"/>
        </w:rPr>
        <w:t xml:space="preserve">To guarantee that the implementation precisely matches our actuarial pricing models and structural compliance rules, the automated testing suite must validate three distinct configurations. </w:t>
      </w:r>
      <w:r w:rsidDel="00000000" w:rsidR="00000000" w:rsidRPr="00000000">
        <w:rPr>
          <w:b w:val="1"/>
          <w:bCs w:val="1"/>
          <w:rtl w:val="0"/>
        </w:rPr>
        <w:t xml:space="preserve">Scenario 1 (</w:t>
      </w:r>
      <w:r w:rsidDel="00000000" w:rsidR="00000000" w:rsidRPr="00000000">
        <w:rPr>
          <w:rFonts w:ascii="Roboto Mono" w:cs="Roboto Mono" w:eastAsia="Roboto Mono" w:hAnsi="Roboto Mono"/>
          <w:b w:val="1"/>
          <w:bCs w:val="1"/>
          <w:color w:val="188038"/>
          <w:rtl w:val="0"/>
        </w:rPr>
        <w:t xml:space="preserve">TC_001_MISSING_MANDATORY_INPUTS</w:t>
      </w:r>
      <w:r w:rsidDel="00000000" w:rsidR="00000000" w:rsidRPr="00000000">
        <w:rPr>
          <w:b w:val="1"/>
          <w:bCs w:val="1"/>
          <w:rtl w:val="0"/>
        </w:rPr>
        <w:t xml:space="preserve">)</w:t>
      </w:r>
      <w:r w:rsidDel="00000000" w:rsidR="00000000" w:rsidRPr="00000000">
        <w:rPr>
          <w:rtl w:val="0"/>
        </w:rPr>
        <w:t xml:space="preserve"> submits an empty orchestration context map to verify that the system breaks immediately at the gate instead of passing null variables down-line. </w:t>
      </w:r>
      <w:r w:rsidDel="00000000" w:rsidR="00000000" w:rsidRPr="00000000">
        <w:rPr>
          <w:b w:val="1"/>
          <w:bCs w:val="1"/>
          <w:rtl w:val="0"/>
        </w:rPr>
        <w:t xml:space="preserve">Scenario 2 (</w:t>
      </w:r>
      <w:r w:rsidDel="00000000" w:rsidR="00000000" w:rsidRPr="00000000">
        <w:rPr>
          <w:rFonts w:ascii="Roboto Mono" w:cs="Roboto Mono" w:eastAsia="Roboto Mono" w:hAnsi="Roboto Mono"/>
          <w:b w:val="1"/>
          <w:bCs w:val="1"/>
          <w:color w:val="188038"/>
          <w:rtl w:val="0"/>
        </w:rPr>
        <w:t xml:space="preserve">TC_002_EXTREME_VARIANCE_ROUTE</w:t>
      </w:r>
      <w:r w:rsidDel="00000000" w:rsidR="00000000" w:rsidRPr="00000000">
        <w:rPr>
          <w:b w:val="1"/>
          <w:bCs w:val="1"/>
          <w:rtl w:val="0"/>
        </w:rPr>
        <w:t xml:space="preserve">)</w:t>
      </w:r>
      <w:r w:rsidDel="00000000" w:rsidR="00000000" w:rsidRPr="00000000">
        <w:rPr>
          <w:rtl w:val="0"/>
        </w:rPr>
        <w:t xml:space="preserve"> passes valid contract identifiers but stubs the market compliance check to return an extreme variance flag, checking that the system skips standard optimization logic, routes to the review board, and stamps database record </w:t>
      </w:r>
      <w:r w:rsidDel="00000000" w:rsidR="00000000" w:rsidRPr="00000000">
        <w:rPr>
          <w:rFonts w:ascii="Roboto Mono" w:cs="Roboto Mono" w:eastAsia="Roboto Mono" w:hAnsi="Roboto Mono"/>
          <w:color w:val="188038"/>
          <w:rtl w:val="0"/>
        </w:rPr>
        <w:t xml:space="preserve">"mock-uuid-555-eee"</w:t>
      </w:r>
      <w:r w:rsidDel="00000000" w:rsidR="00000000" w:rsidRPr="00000000">
        <w:rPr>
          <w:rtl w:val="0"/>
        </w:rPr>
        <w:t xml:space="preserve"> as a </w:t>
      </w:r>
      <w:r w:rsidDel="00000000" w:rsidR="00000000" w:rsidRPr="00000000">
        <w:rPr>
          <w:rFonts w:ascii="Roboto Mono" w:cs="Roboto Mono" w:eastAsia="Roboto Mono" w:hAnsi="Roboto Mono"/>
          <w:color w:val="188038"/>
          <w:rtl w:val="0"/>
        </w:rPr>
        <w:t xml:space="preserve">"REBATE_HOLD"</w:t>
      </w:r>
      <w:r w:rsidDel="00000000" w:rsidR="00000000" w:rsidRPr="00000000">
        <w:rPr>
          <w:rtl w:val="0"/>
        </w:rPr>
        <w:t xml:space="preserve">. </w:t>
      </w:r>
      <w:r w:rsidDel="00000000" w:rsidR="00000000" w:rsidRPr="00000000">
        <w:rPr>
          <w:b w:val="1"/>
          <w:bCs w:val="1"/>
          <w:rtl w:val="0"/>
        </w:rPr>
        <w:t xml:space="preserve">Scenario 3 (</w:t>
      </w:r>
      <w:r w:rsidDel="00000000" w:rsidR="00000000" w:rsidRPr="00000000">
        <w:rPr>
          <w:rFonts w:ascii="Roboto Mono" w:cs="Roboto Mono" w:eastAsia="Roboto Mono" w:hAnsi="Roboto Mono"/>
          <w:b w:val="1"/>
          <w:bCs w:val="1"/>
          <w:color w:val="188038"/>
          <w:rtl w:val="0"/>
        </w:rPr>
        <w:t xml:space="preserve">TC_003_CONTRACT_BREACH_ROUTE</w:t>
      </w:r>
      <w:r w:rsidDel="00000000" w:rsidR="00000000" w:rsidRPr="00000000">
        <w:rPr>
          <w:b w:val="1"/>
          <w:bCs w:val="1"/>
          <w:rtl w:val="0"/>
        </w:rPr>
        <w:t xml:space="preserve">)</w:t>
      </w:r>
      <w:r w:rsidDel="00000000" w:rsidR="00000000" w:rsidRPr="00000000">
        <w:rPr>
          <w:rtl w:val="0"/>
        </w:rPr>
        <w:t xml:space="preserve"> uses identical payload parameters but maps the distributor profile status to </w:t>
      </w:r>
      <w:r w:rsidDel="00000000" w:rsidR="00000000" w:rsidRPr="00000000">
        <w:rPr>
          <w:rFonts w:ascii="Roboto Mono" w:cs="Roboto Mono" w:eastAsia="Roboto Mono" w:hAnsi="Roboto Mono"/>
          <w:color w:val="188038"/>
          <w:rtl w:val="0"/>
        </w:rPr>
        <w:t xml:space="preserve">"BREACH"</w:t>
      </w:r>
      <w:r w:rsidDel="00000000" w:rsidR="00000000" w:rsidRPr="00000000">
        <w:rPr>
          <w:rtl w:val="0"/>
        </w:rPr>
        <w:t xml:space="preserve">, confirming that inactive contracts trigger the exact same routing restrictions and database freeze as Scenario 2.</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