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mzb4doqp3ah4" w:id="0"/>
      <w:bookmarkEnd w:id="0"/>
      <w:r w:rsidDel="00000000" w:rsidR="00000000" w:rsidRPr="00000000">
        <w:rPr>
          <w:b w:val="1"/>
          <w:bCs w:val="1"/>
          <w:sz w:val="34"/>
          <w:szCs w:val="34"/>
          <w:rtl w:val="0"/>
        </w:rPr>
        <w:t xml:space="preserve">Out-of-Network Emergency Leakage Allocation &amp; Regulatory Guardrails</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bCs w:val="1"/>
          <w:rtl w:val="0"/>
        </w:rPr>
        <w:t xml:space="preserve">OonEmergencyLeakageService (v1)</w:t>
      </w:r>
      <w:r w:rsidDel="00000000" w:rsidR="00000000" w:rsidRPr="00000000">
        <w:rPr>
          <w:rtl w:val="0"/>
        </w:rPr>
        <w:t xml:space="preserve"> automates dynamic fair-market reimbursement adjustments and balance-billing threshold validation whenever an out-of-network (OON) emergency department claim payload is submitted for regulatory arbitration. Upon initialization, the core orchestration engine must immediately isolate three baseline tracking keys from the inbound payload: the </w:t>
      </w:r>
      <w:r w:rsidDel="00000000" w:rsidR="00000000" w:rsidRPr="00000000">
        <w:rPr>
          <w:b w:val="1"/>
          <w:bCs w:val="1"/>
          <w:rtl w:val="0"/>
        </w:rPr>
        <w:t xml:space="preserve">Provider Group ID (</w:t>
      </w:r>
      <w:r w:rsidDel="00000000" w:rsidR="00000000" w:rsidRPr="00000000">
        <w:rPr>
          <w:rFonts w:ascii="Roboto Mono" w:cs="Roboto Mono" w:eastAsia="Roboto Mono" w:hAnsi="Roboto Mono"/>
          <w:b w:val="1"/>
          <w:bCs w:val="1"/>
          <w:color w:val="188038"/>
          <w:rtl w:val="0"/>
        </w:rPr>
        <w:t xml:space="preserve">providerGroupId</w:t>
      </w:r>
      <w:r w:rsidDel="00000000" w:rsidR="00000000" w:rsidRPr="00000000">
        <w:rPr>
          <w:b w:val="1"/>
          <w:bCs w:val="1"/>
          <w:rtl w:val="0"/>
        </w:rPr>
        <w:t xml:space="preserve">)</w:t>
      </w:r>
      <w:r w:rsidDel="00000000" w:rsidR="00000000" w:rsidRPr="00000000">
        <w:rPr>
          <w:rtl w:val="0"/>
        </w:rPr>
        <w:t xml:space="preserve"> to identify independent clinical practice structures, the </w:t>
      </w:r>
      <w:r w:rsidDel="00000000" w:rsidR="00000000" w:rsidRPr="00000000">
        <w:rPr>
          <w:b w:val="1"/>
          <w:bCs w:val="1"/>
          <w:rtl w:val="0"/>
        </w:rPr>
        <w:t xml:space="preserve">Gross Charged Amount (</w:t>
      </w:r>
      <w:r w:rsidDel="00000000" w:rsidR="00000000" w:rsidRPr="00000000">
        <w:rPr>
          <w:rFonts w:ascii="Roboto Mono" w:cs="Roboto Mono" w:eastAsia="Roboto Mono" w:hAnsi="Roboto Mono"/>
          <w:b w:val="1"/>
          <w:bCs w:val="1"/>
          <w:color w:val="188038"/>
          <w:rtl w:val="0"/>
        </w:rPr>
        <w:t xml:space="preserve">grossChargedAmount</w:t>
      </w:r>
      <w:r w:rsidDel="00000000" w:rsidR="00000000" w:rsidRPr="00000000">
        <w:rPr>
          <w:b w:val="1"/>
          <w:bCs w:val="1"/>
          <w:rtl w:val="0"/>
        </w:rPr>
        <w:t xml:space="preserve">)</w:t>
      </w:r>
      <w:r w:rsidDel="00000000" w:rsidR="00000000" w:rsidRPr="00000000">
        <w:rPr>
          <w:rtl w:val="0"/>
        </w:rPr>
        <w:t xml:space="preserve"> to establish the baseline billed metric, and the </w:t>
      </w:r>
      <w:r w:rsidDel="00000000" w:rsidR="00000000" w:rsidRPr="00000000">
        <w:rPr>
          <w:b w:val="1"/>
          <w:bCs w:val="1"/>
          <w:rtl w:val="0"/>
        </w:rPr>
        <w:t xml:space="preserve">Emergency Service Token (</w:t>
      </w:r>
      <w:r w:rsidDel="00000000" w:rsidR="00000000" w:rsidRPr="00000000">
        <w:rPr>
          <w:rFonts w:ascii="Roboto Mono" w:cs="Roboto Mono" w:eastAsia="Roboto Mono" w:hAnsi="Roboto Mono"/>
          <w:b w:val="1"/>
          <w:bCs w:val="1"/>
          <w:color w:val="188038"/>
          <w:rtl w:val="0"/>
        </w:rPr>
        <w:t xml:space="preserve">emergencyServiceToken</w:t>
      </w:r>
      <w:r w:rsidDel="00000000" w:rsidR="00000000" w:rsidRPr="00000000">
        <w:rPr>
          <w:b w:val="1"/>
          <w:bCs w:val="1"/>
          <w:rtl w:val="0"/>
        </w:rPr>
        <w:t xml:space="preserve">)</w:t>
      </w:r>
      <w:r w:rsidDel="00000000" w:rsidR="00000000" w:rsidRPr="00000000">
        <w:rPr>
          <w:rtl w:val="0"/>
        </w:rPr>
        <w:t xml:space="preserve"> to uniquely identify specific trauma acuity codes. If any of these parameter keys are missing or unreadable during initial casting, the process terminates immediately at the gate and throws a payload validation exception, protecting downstream payer registries and patient accounts from unvalidated financial risk.</w:t>
      </w:r>
    </w:p>
    <w:p w:rsidR="00000000" w:rsidDel="00000000" w:rsidP="00000000" w:rsidRDefault="00000000" w:rsidRPr="00000000" w14:paraId="00000003">
      <w:pPr>
        <w:spacing w:after="240" w:before="240" w:lineRule="auto"/>
        <w:rPr/>
      </w:pPr>
      <w:r w:rsidDel="00000000" w:rsidR="00000000" w:rsidRPr="00000000">
        <w:rPr>
          <w:rtl w:val="0"/>
        </w:rPr>
        <w:t xml:space="preserve">Once initial verification is complete, the transaction moves sequentially through a background validation pipeline. It first calls the </w:t>
      </w:r>
      <w:r w:rsidDel="00000000" w:rsidR="00000000" w:rsidRPr="00000000">
        <w:rPr>
          <w:rFonts w:ascii="Roboto Mono" w:cs="Roboto Mono" w:eastAsia="Roboto Mono" w:hAnsi="Roboto Mono"/>
          <w:color w:val="188038"/>
          <w:rtl w:val="0"/>
        </w:rPr>
        <w:t xml:space="preserve">ProviderRegistryService (v1)</w:t>
      </w:r>
      <w:r w:rsidDel="00000000" w:rsidR="00000000" w:rsidRPr="00000000">
        <w:rPr>
          <w:rtl w:val="0"/>
        </w:rPr>
        <w:t xml:space="preserve"> to pull practice-specific historical billing patterns and enrollment credentials, forcing the </w:t>
      </w:r>
      <w:r w:rsidDel="00000000" w:rsidR="00000000" w:rsidRPr="00000000">
        <w:rPr>
          <w:rFonts w:ascii="Roboto Mono" w:cs="Roboto Mono" w:eastAsia="Roboto Mono" w:hAnsi="Roboto Mono"/>
          <w:color w:val="188038"/>
          <w:rtl w:val="0"/>
        </w:rPr>
        <w:t xml:space="preserve">providerGroupId</w:t>
      </w:r>
      <w:r w:rsidDel="00000000" w:rsidR="00000000" w:rsidRPr="00000000">
        <w:rPr>
          <w:rtl w:val="0"/>
        </w:rPr>
        <w:t xml:space="preserve"> into the target outbound request map if it is omitted. It then queries the </w:t>
      </w:r>
      <w:r w:rsidDel="00000000" w:rsidR="00000000" w:rsidRPr="00000000">
        <w:rPr>
          <w:rFonts w:ascii="Roboto Mono" w:cs="Roboto Mono" w:eastAsia="Roboto Mono" w:hAnsi="Roboto Mono"/>
          <w:color w:val="188038"/>
          <w:rtl w:val="0"/>
        </w:rPr>
        <w:t xml:space="preserve">AcuityComplianceService (v1)</w:t>
      </w:r>
      <w:r w:rsidDel="00000000" w:rsidR="00000000" w:rsidRPr="00000000">
        <w:rPr>
          <w:rtl w:val="0"/>
        </w:rPr>
        <w:t xml:space="preserve"> to retrieve emergency severity indices and confirm the active clinical classification tier code. Following these microservice validations, the system streams records from the </w:t>
      </w:r>
      <w:r w:rsidDel="00000000" w:rsidR="00000000" w:rsidRPr="00000000">
        <w:rPr>
          <w:rFonts w:ascii="Roboto Mono" w:cs="Roboto Mono" w:eastAsia="Roboto Mono" w:hAnsi="Roboto Mono"/>
          <w:color w:val="188038"/>
          <w:rtl w:val="0"/>
        </w:rPr>
        <w:t xml:space="preserve">OonEmergencyMatrix</w:t>
      </w:r>
      <w:r w:rsidDel="00000000" w:rsidR="00000000" w:rsidRPr="00000000">
        <w:rPr>
          <w:rtl w:val="0"/>
        </w:rPr>
        <w:t xml:space="preserve"> database table using a filter matching the </w:t>
      </w:r>
      <w:r w:rsidDel="00000000" w:rsidR="00000000" w:rsidRPr="00000000">
        <w:rPr>
          <w:rFonts w:ascii="Roboto Mono" w:cs="Roboto Mono" w:eastAsia="Roboto Mono" w:hAnsi="Roboto Mono"/>
          <w:color w:val="188038"/>
          <w:rtl w:val="0"/>
        </w:rPr>
        <w:t xml:space="preserve">emergencyServiceToken</w:t>
      </w:r>
      <w:r w:rsidDel="00000000" w:rsidR="00000000" w:rsidRPr="00000000">
        <w:rPr>
          <w:rtl w:val="0"/>
        </w:rPr>
        <w:t xml:space="preserve"> to capture the unique tracking database handle (</w:t>
      </w:r>
      <w:r w:rsidDel="00000000" w:rsidR="00000000" w:rsidRPr="00000000">
        <w:rPr>
          <w:rFonts w:ascii="Roboto Mono" w:cs="Roboto Mono" w:eastAsia="Roboto Mono" w:hAnsi="Roboto Mono"/>
          <w:color w:val="188038"/>
          <w:rtl w:val="0"/>
        </w:rPr>
        <w:t xml:space="preserve">uuid</w:t>
      </w:r>
      <w:r w:rsidDel="00000000" w:rsidR="00000000" w:rsidRPr="00000000">
        <w:rPr>
          <w:rtl w:val="0"/>
        </w:rPr>
        <w:t xml:space="preserve">) and the target service's maximum allowable qualifying payment amount (</w:t>
      </w:r>
      <w:r w:rsidDel="00000000" w:rsidR="00000000" w:rsidRPr="00000000">
        <w:rPr>
          <w:rFonts w:ascii="Roboto Mono" w:cs="Roboto Mono" w:eastAsia="Roboto Mono" w:hAnsi="Roboto Mono"/>
          <w:color w:val="188038"/>
          <w:rtl w:val="0"/>
        </w:rPr>
        <w:t xml:space="preserve">max_qpa_allowable_amount</w:t>
      </w:r>
      <w:r w:rsidDel="00000000" w:rsidR="00000000" w:rsidRPr="00000000">
        <w:rPr>
          <w:rtl w:val="0"/>
        </w:rPr>
        <w:t xml:space="preserve">). Finally, the system takes the clinical classification tier code retrieved in the second step to query the </w:t>
      </w:r>
      <w:r w:rsidDel="00000000" w:rsidR="00000000" w:rsidRPr="00000000">
        <w:rPr>
          <w:rFonts w:ascii="Roboto Mono" w:cs="Roboto Mono" w:eastAsia="Roboto Mono" w:hAnsi="Roboto Mono"/>
          <w:color w:val="188038"/>
          <w:rtl w:val="0"/>
        </w:rPr>
        <w:t xml:space="preserve">RegionalRegulatorySurcharge</w:t>
      </w:r>
      <w:r w:rsidDel="00000000" w:rsidR="00000000" w:rsidRPr="00000000">
        <w:rPr>
          <w:rtl w:val="0"/>
        </w:rPr>
        <w:t xml:space="preserve"> database table and apply the localized regional </w:t>
      </w:r>
      <w:r w:rsidDel="00000000" w:rsidR="00000000" w:rsidRPr="00000000">
        <w:rPr>
          <w:rFonts w:ascii="Roboto Mono" w:cs="Roboto Mono" w:eastAsia="Roboto Mono" w:hAnsi="Roboto Mono"/>
          <w:color w:val="188038"/>
          <w:rtl w:val="0"/>
        </w:rPr>
        <w:t xml:space="preserve">tax_surcharge_percentage</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Before saving calculated totals to the claims adjudication ledger or issuing a permanent financial clearance stamp, the transaction context passes through a strict cost-mitigation filter. If the provider group's operational credential status is explicitly marked as </w:t>
      </w:r>
      <w:r w:rsidDel="00000000" w:rsidR="00000000" w:rsidRPr="00000000">
        <w:rPr>
          <w:rFonts w:ascii="Roboto Mono" w:cs="Roboto Mono" w:eastAsia="Roboto Mono" w:hAnsi="Roboto Mono"/>
          <w:b w:val="1"/>
          <w:bCs w:val="1"/>
          <w:color w:val="188038"/>
          <w:rtl w:val="0"/>
        </w:rPr>
        <w:t xml:space="preserve">"REVOKED"</w:t>
      </w:r>
      <w:r w:rsidDel="00000000" w:rsidR="00000000" w:rsidRPr="00000000">
        <w:rPr>
          <w:rtl w:val="0"/>
        </w:rPr>
        <w:t xml:space="preserve"> or if the acuity analysis engine flags an extreme spend variance threshold (</w:t>
      </w:r>
      <w:r w:rsidDel="00000000" w:rsidR="00000000" w:rsidRPr="00000000">
        <w:rPr>
          <w:rFonts w:ascii="Roboto Mono" w:cs="Roboto Mono" w:eastAsia="Roboto Mono" w:hAnsi="Roboto Mono"/>
          <w:b w:val="1"/>
          <w:bCs w:val="1"/>
          <w:color w:val="188038"/>
          <w:rtl w:val="0"/>
        </w:rPr>
        <w:t xml:space="preserve">extremeSpendVarianceFlag</w:t>
      </w:r>
      <w:r w:rsidDel="00000000" w:rsidR="00000000" w:rsidRPr="00000000">
        <w:rPr>
          <w:b w:val="1"/>
          <w:bCs w:val="1"/>
          <w:rtl w:val="0"/>
        </w:rPr>
        <w:t xml:space="preserve"> is true</w:t>
      </w:r>
      <w:r w:rsidDel="00000000" w:rsidR="00000000" w:rsidRPr="00000000">
        <w:rPr>
          <w:rtl w:val="0"/>
        </w:rPr>
        <w:t xml:space="preserve">), automated arbitration is instantly aborted. The transaction context is diverted away from the standard clearing path and sent directly to the </w:t>
      </w:r>
      <w:r w:rsidDel="00000000" w:rsidR="00000000" w:rsidRPr="00000000">
        <w:rPr>
          <w:b w:val="1"/>
          <w:bCs w:val="1"/>
          <w:rtl w:val="0"/>
        </w:rPr>
        <w:t xml:space="preserve">FederalArbitrationService (v1)</w:t>
      </w:r>
      <w:r w:rsidDel="00000000" w:rsidR="00000000" w:rsidRPr="00000000">
        <w:rPr>
          <w:rtl w:val="0"/>
        </w:rPr>
        <w:t xml:space="preserve"> for a manual, mediator-led legal audit under federal No Surprises Act guidelines. Simultaneously, the engine locks down the specific database row in the </w:t>
      </w:r>
      <w:r w:rsidDel="00000000" w:rsidR="00000000" w:rsidRPr="00000000">
        <w:rPr>
          <w:rFonts w:ascii="Roboto Mono" w:cs="Roboto Mono" w:eastAsia="Roboto Mono" w:hAnsi="Roboto Mono"/>
          <w:color w:val="188038"/>
          <w:rtl w:val="0"/>
        </w:rPr>
        <w:t xml:space="preserve">OonEmergencyMatrix</w:t>
      </w:r>
      <w:r w:rsidDel="00000000" w:rsidR="00000000" w:rsidRPr="00000000">
        <w:rPr>
          <w:rtl w:val="0"/>
        </w:rPr>
        <w:t xml:space="preserve"> matching the streamed </w:t>
      </w:r>
      <w:r w:rsidDel="00000000" w:rsidR="00000000" w:rsidRPr="00000000">
        <w:rPr>
          <w:rFonts w:ascii="Roboto Mono" w:cs="Roboto Mono" w:eastAsia="Roboto Mono" w:hAnsi="Roboto Mono"/>
          <w:color w:val="188038"/>
          <w:rtl w:val="0"/>
        </w:rPr>
        <w:t xml:space="preserve">uuidfactory</w:t>
      </w:r>
      <w:r w:rsidDel="00000000" w:rsidR="00000000" w:rsidRPr="00000000">
        <w:rPr>
          <w:rtl w:val="0"/>
        </w:rPr>
        <w:t xml:space="preserve">, setting its </w:t>
      </w:r>
      <w:r w:rsidDel="00000000" w:rsidR="00000000" w:rsidRPr="00000000">
        <w:rPr>
          <w:rFonts w:ascii="Roboto Mono" w:cs="Roboto Mono" w:eastAsia="Roboto Mono" w:hAnsi="Roboto Mono"/>
          <w:color w:val="188038"/>
          <w:rtl w:val="0"/>
        </w:rPr>
        <w:t xml:space="preserve">adjudication_status</w:t>
      </w:r>
      <w:r w:rsidDel="00000000" w:rsidR="00000000" w:rsidRPr="00000000">
        <w:rPr>
          <w:rtl w:val="0"/>
        </w:rPr>
        <w:t xml:space="preserve"> to </w:t>
      </w:r>
      <w:r w:rsidDel="00000000" w:rsidR="00000000" w:rsidRPr="00000000">
        <w:rPr>
          <w:rFonts w:ascii="Roboto Mono" w:cs="Roboto Mono" w:eastAsia="Roboto Mono" w:hAnsi="Roboto Mono"/>
          <w:b w:val="1"/>
          <w:bCs w:val="1"/>
          <w:color w:val="188038"/>
          <w:rtl w:val="0"/>
        </w:rPr>
        <w:t xml:space="preserve">"ARBITRATION_HOLD"</w:t>
      </w:r>
      <w:r w:rsidDel="00000000" w:rsidR="00000000" w:rsidRPr="00000000">
        <w:rPr>
          <w:rtl w:val="0"/>
        </w:rPr>
        <w:t xml:space="preserve">, logging a processing note detailing the explicit regulatory flag breach, and stamping it with the system's current date and time.</w:t>
      </w:r>
    </w:p>
    <w:p w:rsidR="00000000" w:rsidDel="00000000" w:rsidP="00000000" w:rsidRDefault="00000000" w:rsidRPr="00000000" w14:paraId="00000005">
      <w:pPr>
        <w:spacing w:after="240" w:before="240" w:lineRule="auto"/>
        <w:rPr/>
      </w:pPr>
      <w:r w:rsidDel="00000000" w:rsidR="00000000" w:rsidRPr="00000000">
        <w:rPr>
          <w:rtl w:val="0"/>
        </w:rPr>
        <w:t xml:space="preserve">To guarantee that developers implement this orchestration flow to exact federal, state, and corporate compliance specifications, the automated testing framework must validate three distinct system behaviors. </w:t>
      </w:r>
      <w:r w:rsidDel="00000000" w:rsidR="00000000" w:rsidRPr="00000000">
        <w:rPr>
          <w:b w:val="1"/>
          <w:bCs w:val="1"/>
          <w:rtl w:val="0"/>
        </w:rPr>
        <w:t xml:space="preserve">Scenario 1 (</w:t>
      </w:r>
      <w:r w:rsidDel="00000000" w:rsidR="00000000" w:rsidRPr="00000000">
        <w:rPr>
          <w:rFonts w:ascii="Roboto Mono" w:cs="Roboto Mono" w:eastAsia="Roboto Mono" w:hAnsi="Roboto Mono"/>
          <w:b w:val="1"/>
          <w:bCs w:val="1"/>
          <w:color w:val="188038"/>
          <w:rtl w:val="0"/>
        </w:rPr>
        <w:t xml:space="preserve">TC_001_MISSING_MANDATORY_INPUTS</w:t>
      </w:r>
      <w:r w:rsidDel="00000000" w:rsidR="00000000" w:rsidRPr="00000000">
        <w:rPr>
          <w:b w:val="1"/>
          <w:bCs w:val="1"/>
          <w:rtl w:val="0"/>
        </w:rPr>
        <w:t xml:space="preserve">)</w:t>
      </w:r>
      <w:r w:rsidDel="00000000" w:rsidR="00000000" w:rsidRPr="00000000">
        <w:rPr>
          <w:rtl w:val="0"/>
        </w:rPr>
        <w:t xml:space="preserve"> transmits an empty initialization payload to verify that the core service breaks instantly instead of allowing null parameters to process down-line. </w:t>
      </w:r>
      <w:r w:rsidDel="00000000" w:rsidR="00000000" w:rsidRPr="00000000">
        <w:rPr>
          <w:b w:val="1"/>
          <w:bCs w:val="1"/>
          <w:rtl w:val="0"/>
        </w:rPr>
        <w:t xml:space="preserve">Scenario 2 (</w:t>
      </w:r>
      <w:r w:rsidDel="00000000" w:rsidR="00000000" w:rsidRPr="00000000">
        <w:rPr>
          <w:rFonts w:ascii="Roboto Mono" w:cs="Roboto Mono" w:eastAsia="Roboto Mono" w:hAnsi="Roboto Mono"/>
          <w:b w:val="1"/>
          <w:bCs w:val="1"/>
          <w:color w:val="188038"/>
          <w:rtl w:val="0"/>
        </w:rPr>
        <w:t xml:space="preserve">TC_002_EXTREME_VARIANCE_ROUTE</w:t>
      </w:r>
      <w:r w:rsidDel="00000000" w:rsidR="00000000" w:rsidRPr="00000000">
        <w:rPr>
          <w:b w:val="1"/>
          <w:bCs w:val="1"/>
          <w:rtl w:val="0"/>
        </w:rPr>
        <w:t xml:space="preserve">)</w:t>
      </w:r>
      <w:r w:rsidDel="00000000" w:rsidR="00000000" w:rsidRPr="00000000">
        <w:rPr>
          <w:rtl w:val="0"/>
        </w:rPr>
        <w:t xml:space="preserve"> inputs fully valid identification keys but stubs the acuity compliance verification response to return an active spend variance flag, checking that the system halts financial math, routes directly to federal arbitration, and stamps record </w:t>
      </w:r>
      <w:r w:rsidDel="00000000" w:rsidR="00000000" w:rsidRPr="00000000">
        <w:rPr>
          <w:rFonts w:ascii="Roboto Mono" w:cs="Roboto Mono" w:eastAsia="Roboto Mono" w:hAnsi="Roboto Mono"/>
          <w:color w:val="188038"/>
          <w:rtl w:val="0"/>
        </w:rPr>
        <w:t xml:space="preserve">"mock-uuid-000-jjj"</w:t>
      </w:r>
      <w:r w:rsidDel="00000000" w:rsidR="00000000" w:rsidRPr="00000000">
        <w:rPr>
          <w:rtl w:val="0"/>
        </w:rPr>
        <w:t xml:space="preserve"> as an </w:t>
      </w:r>
      <w:r w:rsidDel="00000000" w:rsidR="00000000" w:rsidRPr="00000000">
        <w:rPr>
          <w:rFonts w:ascii="Roboto Mono" w:cs="Roboto Mono" w:eastAsia="Roboto Mono" w:hAnsi="Roboto Mono"/>
          <w:color w:val="188038"/>
          <w:rtl w:val="0"/>
        </w:rPr>
        <w:t xml:space="preserve">"ARBITRATION_HOLD"</w:t>
      </w:r>
      <w:r w:rsidDel="00000000" w:rsidR="00000000" w:rsidRPr="00000000">
        <w:rPr>
          <w:rtl w:val="0"/>
        </w:rPr>
        <w:t xml:space="preserve">. </w:t>
      </w:r>
      <w:r w:rsidDel="00000000" w:rsidR="00000000" w:rsidRPr="00000000">
        <w:rPr>
          <w:b w:val="1"/>
          <w:bCs w:val="1"/>
          <w:rtl w:val="0"/>
        </w:rPr>
        <w:t xml:space="preserve">Scenario 3 (</w:t>
      </w:r>
      <w:r w:rsidDel="00000000" w:rsidR="00000000" w:rsidRPr="00000000">
        <w:rPr>
          <w:rFonts w:ascii="Roboto Mono" w:cs="Roboto Mono" w:eastAsia="Roboto Mono" w:hAnsi="Roboto Mono"/>
          <w:b w:val="1"/>
          <w:bCs w:val="1"/>
          <w:color w:val="188038"/>
          <w:rtl w:val="0"/>
        </w:rPr>
        <w:t xml:space="preserve">TC_003_CREDENTIAL_REVOKED_ROUTE</w:t>
      </w:r>
      <w:r w:rsidDel="00000000" w:rsidR="00000000" w:rsidRPr="00000000">
        <w:rPr>
          <w:b w:val="1"/>
          <w:bCs w:val="1"/>
          <w:rtl w:val="0"/>
        </w:rPr>
        <w:t xml:space="preserve">)</w:t>
      </w:r>
      <w:r w:rsidDel="00000000" w:rsidR="00000000" w:rsidRPr="00000000">
        <w:rPr>
          <w:rtl w:val="0"/>
        </w:rPr>
        <w:t xml:space="preserve"> uses identical structural parameters but overrides the provider registry status to </w:t>
      </w:r>
      <w:r w:rsidDel="00000000" w:rsidR="00000000" w:rsidRPr="00000000">
        <w:rPr>
          <w:rFonts w:ascii="Roboto Mono" w:cs="Roboto Mono" w:eastAsia="Roboto Mono" w:hAnsi="Roboto Mono"/>
          <w:color w:val="188038"/>
          <w:rtl w:val="0"/>
        </w:rPr>
        <w:t xml:space="preserve">"REVOKED"</w:t>
      </w:r>
      <w:r w:rsidDel="00000000" w:rsidR="00000000" w:rsidRPr="00000000">
        <w:rPr>
          <w:rtl w:val="0"/>
        </w:rPr>
        <w:t xml:space="preserve">, confirming that sanctioned or uncredited practice accounts trigger the exact same routing restrictions and database lockdown script rules as Scenario 2.</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