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pous9gva2kg" w:id="0"/>
      <w:bookmarkEnd w:id="0"/>
      <w:r w:rsidDel="00000000" w:rsidR="00000000" w:rsidRPr="00000000">
        <w:rPr>
          <w:b w:val="1"/>
          <w:bCs w:val="1"/>
          <w:sz w:val="34"/>
          <w:szCs w:val="34"/>
          <w:rtl w:val="0"/>
        </w:rPr>
        <w:t xml:space="preserve">Premium Tier Pricing Tier Adjustments &amp; Underwriting Guardrails</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PremiumTierAdjustmentService (v1)</w:t>
      </w:r>
      <w:r w:rsidDel="00000000" w:rsidR="00000000" w:rsidRPr="00000000">
        <w:rPr>
          <w:rtl w:val="0"/>
        </w:rPr>
        <w:t xml:space="preserve"> automates subscription markup calculations and underwriter validation whenever a corporate group coverage plan undergoes an annual renewal cycle. Upon transaction initialization, the engine must immediately extract three structural parameter keys from the billing payload: the </w:t>
      </w:r>
      <w:r w:rsidDel="00000000" w:rsidR="00000000" w:rsidRPr="00000000">
        <w:rPr>
          <w:b w:val="1"/>
          <w:bCs w:val="1"/>
          <w:rtl w:val="0"/>
        </w:rPr>
        <w:t xml:space="preserve">Group Account ID (</w:t>
      </w:r>
      <w:r w:rsidDel="00000000" w:rsidR="00000000" w:rsidRPr="00000000">
        <w:rPr>
          <w:rFonts w:ascii="Roboto Mono" w:cs="Roboto Mono" w:eastAsia="Roboto Mono" w:hAnsi="Roboto Mono"/>
          <w:b w:val="1"/>
          <w:bCs w:val="1"/>
          <w:color w:val="188038"/>
          <w:rtl w:val="0"/>
        </w:rPr>
        <w:t xml:space="preserve">groupAccountId</w:t>
      </w:r>
      <w:r w:rsidDel="00000000" w:rsidR="00000000" w:rsidRPr="00000000">
        <w:rPr>
          <w:b w:val="1"/>
          <w:bCs w:val="1"/>
          <w:rtl w:val="0"/>
        </w:rPr>
        <w:t xml:space="preserve">)</w:t>
      </w:r>
      <w:r w:rsidDel="00000000" w:rsidR="00000000" w:rsidRPr="00000000">
        <w:rPr>
          <w:rtl w:val="0"/>
        </w:rPr>
        <w:t xml:space="preserve"> to map contract hierarchies, the </w:t>
      </w:r>
      <w:r w:rsidDel="00000000" w:rsidR="00000000" w:rsidRPr="00000000">
        <w:rPr>
          <w:b w:val="1"/>
          <w:bCs w:val="1"/>
          <w:rtl w:val="0"/>
        </w:rPr>
        <w:t xml:space="preserve">Base Premium Rate (</w:t>
      </w:r>
      <w:r w:rsidDel="00000000" w:rsidR="00000000" w:rsidRPr="00000000">
        <w:rPr>
          <w:rFonts w:ascii="Roboto Mono" w:cs="Roboto Mono" w:eastAsia="Roboto Mono" w:hAnsi="Roboto Mono"/>
          <w:b w:val="1"/>
          <w:bCs w:val="1"/>
          <w:color w:val="188038"/>
          <w:rtl w:val="0"/>
        </w:rPr>
        <w:t xml:space="preserve">basePremiumRate</w:t>
      </w:r>
      <w:r w:rsidDel="00000000" w:rsidR="00000000" w:rsidRPr="00000000">
        <w:rPr>
          <w:b w:val="1"/>
          <w:bCs w:val="1"/>
          <w:rtl w:val="0"/>
        </w:rPr>
        <w:t xml:space="preserve">)</w:t>
      </w:r>
      <w:r w:rsidDel="00000000" w:rsidR="00000000" w:rsidRPr="00000000">
        <w:rPr>
          <w:rtl w:val="0"/>
        </w:rPr>
        <w:t xml:space="preserve"> to serve as the financial baseline, and the </w:t>
      </w:r>
      <w:r w:rsidDel="00000000" w:rsidR="00000000" w:rsidRPr="00000000">
        <w:rPr>
          <w:b w:val="1"/>
          <w:bCs w:val="1"/>
          <w:rtl w:val="0"/>
        </w:rPr>
        <w:t xml:space="preserve">Renewal Token (</w:t>
      </w:r>
      <w:r w:rsidDel="00000000" w:rsidR="00000000" w:rsidRPr="00000000">
        <w:rPr>
          <w:rFonts w:ascii="Roboto Mono" w:cs="Roboto Mono" w:eastAsia="Roboto Mono" w:hAnsi="Roboto Mono"/>
          <w:b w:val="1"/>
          <w:bCs w:val="1"/>
          <w:color w:val="188038"/>
          <w:rtl w:val="0"/>
        </w:rPr>
        <w:t xml:space="preserve">renewalToken</w:t>
      </w:r>
      <w:r w:rsidDel="00000000" w:rsidR="00000000" w:rsidRPr="00000000">
        <w:rPr>
          <w:b w:val="1"/>
          <w:bCs w:val="1"/>
          <w:rtl w:val="0"/>
        </w:rPr>
        <w:t xml:space="preserve">)</w:t>
      </w:r>
      <w:r w:rsidDel="00000000" w:rsidR="00000000" w:rsidRPr="00000000">
        <w:rPr>
          <w:rtl w:val="0"/>
        </w:rPr>
        <w:t xml:space="preserve"> to trace audit history across the billing lifecycle. If any of these tracking keys are absent from the transaction entry map, the process halts instantly and throws a validation exception to protect downstream financial ledgers from corrupted data.</w:t>
      </w:r>
    </w:p>
    <w:p w:rsidR="00000000" w:rsidDel="00000000" w:rsidP="00000000" w:rsidRDefault="00000000" w:rsidRPr="00000000" w14:paraId="00000003">
      <w:pPr>
        <w:spacing w:after="240" w:before="240" w:lineRule="auto"/>
        <w:rPr/>
      </w:pPr>
      <w:r w:rsidDel="00000000" w:rsidR="00000000" w:rsidRPr="00000000">
        <w:rPr>
          <w:rtl w:val="0"/>
        </w:rPr>
        <w:t xml:space="preserve">Once initial data validation succeeds, the transaction progresses through a step-by-step evaluation pipeline. It first triggers the </w:t>
      </w:r>
      <w:r w:rsidDel="00000000" w:rsidR="00000000" w:rsidRPr="00000000">
        <w:rPr>
          <w:rFonts w:ascii="Roboto Mono" w:cs="Roboto Mono" w:eastAsia="Roboto Mono" w:hAnsi="Roboto Mono"/>
          <w:color w:val="188038"/>
          <w:rtl w:val="0"/>
        </w:rPr>
        <w:t xml:space="preserve">GroupAccountRegistryService (v1)</w:t>
      </w:r>
      <w:r w:rsidDel="00000000" w:rsidR="00000000" w:rsidRPr="00000000">
        <w:rPr>
          <w:rtl w:val="0"/>
        </w:rPr>
        <w:t xml:space="preserve"> to pull the company’s structural history and historical claim loss ratios, forcing the </w:t>
      </w:r>
      <w:r w:rsidDel="00000000" w:rsidR="00000000" w:rsidRPr="00000000">
        <w:rPr>
          <w:rFonts w:ascii="Roboto Mono" w:cs="Roboto Mono" w:eastAsia="Roboto Mono" w:hAnsi="Roboto Mono"/>
          <w:color w:val="188038"/>
          <w:rtl w:val="0"/>
        </w:rPr>
        <w:t xml:space="preserve">groupAccountId</w:t>
      </w:r>
      <w:r w:rsidDel="00000000" w:rsidR="00000000" w:rsidRPr="00000000">
        <w:rPr>
          <w:rtl w:val="0"/>
        </w:rPr>
        <w:t xml:space="preserve"> into the target request payload if it is missing. It then connects to the </w:t>
      </w:r>
      <w:r w:rsidDel="00000000" w:rsidR="00000000" w:rsidRPr="00000000">
        <w:rPr>
          <w:rFonts w:ascii="Roboto Mono" w:cs="Roboto Mono" w:eastAsia="Roboto Mono" w:hAnsi="Roboto Mono"/>
          <w:color w:val="188038"/>
          <w:rtl w:val="0"/>
        </w:rPr>
        <w:t xml:space="preserve">RiskUnderwritingService (v1)</w:t>
      </w:r>
      <w:r w:rsidDel="00000000" w:rsidR="00000000" w:rsidRPr="00000000">
        <w:rPr>
          <w:rtl w:val="0"/>
        </w:rPr>
        <w:t xml:space="preserve"> to retrieve corporate risk factors and verify tier assignments based on the group's regional overhead costs. Following these service evaluations, the system streams records from the </w:t>
      </w:r>
      <w:r w:rsidDel="00000000" w:rsidR="00000000" w:rsidRPr="00000000">
        <w:rPr>
          <w:rFonts w:ascii="Roboto Mono" w:cs="Roboto Mono" w:eastAsia="Roboto Mono" w:hAnsi="Roboto Mono"/>
          <w:color w:val="188038"/>
          <w:rtl w:val="0"/>
        </w:rPr>
        <w:t xml:space="preserve">PremiumTierMatrix</w:t>
      </w:r>
      <w:r w:rsidDel="00000000" w:rsidR="00000000" w:rsidRPr="00000000">
        <w:rPr>
          <w:rtl w:val="0"/>
        </w:rPr>
        <w:t xml:space="preserve"> database table by filtering on the </w:t>
      </w:r>
      <w:r w:rsidDel="00000000" w:rsidR="00000000" w:rsidRPr="00000000">
        <w:rPr>
          <w:rFonts w:ascii="Roboto Mono" w:cs="Roboto Mono" w:eastAsia="Roboto Mono" w:hAnsi="Roboto Mono"/>
          <w:color w:val="188038"/>
          <w:rtl w:val="0"/>
        </w:rPr>
        <w:t xml:space="preserve">groupAccountId</w:t>
      </w:r>
      <w:r w:rsidDel="00000000" w:rsidR="00000000" w:rsidRPr="00000000">
        <w:rPr>
          <w:rtl w:val="0"/>
        </w:rPr>
        <w:t xml:space="preserve"> to isolate the unique tracking identifier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and the current contract's baseline markup percentage (</w:t>
      </w:r>
      <w:r w:rsidDel="00000000" w:rsidR="00000000" w:rsidRPr="00000000">
        <w:rPr>
          <w:rFonts w:ascii="Roboto Mono" w:cs="Roboto Mono" w:eastAsia="Roboto Mono" w:hAnsi="Roboto Mono"/>
          <w:color w:val="188038"/>
          <w:rtl w:val="0"/>
        </w:rPr>
        <w:t xml:space="preserve">tier_markup_percentage</w:t>
      </w:r>
      <w:r w:rsidDel="00000000" w:rsidR="00000000" w:rsidRPr="00000000">
        <w:rPr>
          <w:rtl w:val="0"/>
        </w:rPr>
        <w:t xml:space="preserve">). Finally, the system references the risk tier code extracted during the second step to query the </w:t>
      </w:r>
      <w:r w:rsidDel="00000000" w:rsidR="00000000" w:rsidRPr="00000000">
        <w:rPr>
          <w:rFonts w:ascii="Roboto Mono" w:cs="Roboto Mono" w:eastAsia="Roboto Mono" w:hAnsi="Roboto Mono"/>
          <w:color w:val="188038"/>
          <w:rtl w:val="0"/>
        </w:rPr>
        <w:t xml:space="preserve">RegionalTaxAdjustment</w:t>
      </w:r>
      <w:r w:rsidDel="00000000" w:rsidR="00000000" w:rsidRPr="00000000">
        <w:rPr>
          <w:rtl w:val="0"/>
        </w:rPr>
        <w:t xml:space="preserve"> database table and pull the corresponding regional </w:t>
      </w:r>
      <w:r w:rsidDel="00000000" w:rsidR="00000000" w:rsidRPr="00000000">
        <w:rPr>
          <w:rFonts w:ascii="Roboto Mono" w:cs="Roboto Mono" w:eastAsia="Roboto Mono" w:hAnsi="Roboto Mono"/>
          <w:color w:val="188038"/>
          <w:rtl w:val="0"/>
        </w:rPr>
        <w:t xml:space="preserve">tax_surcharge_multiplier</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Before calculating final invoice rates or committing values to the ledger, the system routes the transaction context through a strict risk-scoring filter. If the group’s profile reveals that their account status is </w:t>
      </w:r>
      <w:r w:rsidDel="00000000" w:rsidR="00000000" w:rsidRPr="00000000">
        <w:rPr>
          <w:rFonts w:ascii="Roboto Mono" w:cs="Roboto Mono" w:eastAsia="Roboto Mono" w:hAnsi="Roboto Mono"/>
          <w:b w:val="1"/>
          <w:bCs w:val="1"/>
          <w:color w:val="188038"/>
          <w:rtl w:val="0"/>
        </w:rPr>
        <w:t xml:space="preserve">"DELINQUENT"</w:t>
      </w:r>
      <w:r w:rsidDel="00000000" w:rsidR="00000000" w:rsidRPr="00000000">
        <w:rPr>
          <w:rtl w:val="0"/>
        </w:rPr>
        <w:t xml:space="preserve"> or if the underwriting engine flags an extreme risk variance score (</w:t>
      </w:r>
      <w:r w:rsidDel="00000000" w:rsidR="00000000" w:rsidRPr="00000000">
        <w:rPr>
          <w:rFonts w:ascii="Roboto Mono" w:cs="Roboto Mono" w:eastAsia="Roboto Mono" w:hAnsi="Roboto Mono"/>
          <w:b w:val="1"/>
          <w:bCs w:val="1"/>
          <w:color w:val="188038"/>
          <w:rtl w:val="0"/>
        </w:rPr>
        <w:t xml:space="preserve">extremeRiskVarianceFlag</w:t>
      </w:r>
      <w:r w:rsidDel="00000000" w:rsidR="00000000" w:rsidRPr="00000000">
        <w:rPr>
          <w:b w:val="1"/>
          <w:bCs w:val="1"/>
          <w:rtl w:val="0"/>
        </w:rPr>
        <w:t xml:space="preserve"> is true</w:t>
      </w:r>
      <w:r w:rsidDel="00000000" w:rsidR="00000000" w:rsidRPr="00000000">
        <w:rPr>
          <w:rtl w:val="0"/>
        </w:rPr>
        <w:t xml:space="preserve">), automated pricing updates are instantly aborted. The transaction is diverted from the standard automated billing track and routed directly to the </w:t>
      </w:r>
      <w:r w:rsidDel="00000000" w:rsidR="00000000" w:rsidRPr="00000000">
        <w:rPr>
          <w:b w:val="1"/>
          <w:bCs w:val="1"/>
          <w:rtl w:val="0"/>
        </w:rPr>
        <w:t xml:space="preserve">UnderwritingReviewBoardService (v1)</w:t>
      </w:r>
      <w:r w:rsidDel="00000000" w:rsidR="00000000" w:rsidRPr="00000000">
        <w:rPr>
          <w:rtl w:val="0"/>
        </w:rPr>
        <w:t xml:space="preserve"> for manual secondary forensic audit. Concurrently, the engine executes a database lockdown sequence on the </w:t>
      </w:r>
      <w:r w:rsidDel="00000000" w:rsidR="00000000" w:rsidRPr="00000000">
        <w:rPr>
          <w:rFonts w:ascii="Roboto Mono" w:cs="Roboto Mono" w:eastAsia="Roboto Mono" w:hAnsi="Roboto Mono"/>
          <w:color w:val="188038"/>
          <w:rtl w:val="0"/>
        </w:rPr>
        <w:t xml:space="preserve">PremiumTierMatrix</w:t>
      </w:r>
      <w:r w:rsidDel="00000000" w:rsidR="00000000" w:rsidRPr="00000000">
        <w:rPr>
          <w:rtl w:val="0"/>
        </w:rPr>
        <w:t xml:space="preserve"> record matching the streamed </w:t>
      </w:r>
      <w:r w:rsidDel="00000000" w:rsidR="00000000" w:rsidRPr="00000000">
        <w:rPr>
          <w:rFonts w:ascii="Roboto Mono" w:cs="Roboto Mono" w:eastAsia="Roboto Mono" w:hAnsi="Roboto Mono"/>
          <w:color w:val="188038"/>
          <w:rtl w:val="0"/>
        </w:rPr>
        <w:t xml:space="preserve">uuid</w:t>
      </w:r>
      <w:r w:rsidDel="00000000" w:rsidR="00000000" w:rsidRPr="00000000">
        <w:rPr>
          <w:rtl w:val="0"/>
        </w:rPr>
        <w:t xml:space="preserve">, setting the record's </w:t>
      </w:r>
      <w:r w:rsidDel="00000000" w:rsidR="00000000" w:rsidRPr="00000000">
        <w:rPr>
          <w:rFonts w:ascii="Roboto Mono" w:cs="Roboto Mono" w:eastAsia="Roboto Mono" w:hAnsi="Roboto Mono"/>
          <w:color w:val="188038"/>
          <w:rtl w:val="0"/>
        </w:rPr>
        <w:t xml:space="preserve">adjudication_status</w:t>
      </w:r>
      <w:r w:rsidDel="00000000" w:rsidR="00000000" w:rsidRPr="00000000">
        <w:rPr>
          <w:rtl w:val="0"/>
        </w:rPr>
        <w:t xml:space="preserve"> to </w:t>
      </w:r>
      <w:r w:rsidDel="00000000" w:rsidR="00000000" w:rsidRPr="00000000">
        <w:rPr>
          <w:rFonts w:ascii="Roboto Mono" w:cs="Roboto Mono" w:eastAsia="Roboto Mono" w:hAnsi="Roboto Mono"/>
          <w:b w:val="1"/>
          <w:bCs w:val="1"/>
          <w:color w:val="188038"/>
          <w:rtl w:val="0"/>
        </w:rPr>
        <w:t xml:space="preserve">"UNDERWRITING_HOLD"</w:t>
      </w:r>
      <w:r w:rsidDel="00000000" w:rsidR="00000000" w:rsidRPr="00000000">
        <w:rPr>
          <w:rtl w:val="0"/>
        </w:rPr>
        <w:t xml:space="preserve">, appending a processing log detailing the explicit compliance flag breach, and stamping it with the system's current date and time.</w:t>
      </w:r>
    </w:p>
    <w:p w:rsidR="00000000" w:rsidDel="00000000" w:rsidP="00000000" w:rsidRDefault="00000000" w:rsidRPr="00000000" w14:paraId="00000005">
      <w:pPr>
        <w:spacing w:after="240" w:before="240" w:lineRule="auto"/>
        <w:rPr/>
      </w:pPr>
      <w:r w:rsidDel="00000000" w:rsidR="00000000" w:rsidRPr="00000000">
        <w:rPr>
          <w:rtl w:val="0"/>
        </w:rPr>
        <w:t xml:space="preserve">To guarantee that the implementation precisely matches our actuarial and financial risk compliance rules, the automated test suite must validate three distinct configurations. </w:t>
      </w:r>
      <w:r w:rsidDel="00000000" w:rsidR="00000000" w:rsidRPr="00000000">
        <w:rPr>
          <w:b w:val="1"/>
          <w:bCs w:val="1"/>
          <w:rtl w:val="0"/>
        </w:rPr>
        <w:t xml:space="preserve">Scenario 1 (</w:t>
      </w:r>
      <w:r w:rsidDel="00000000" w:rsidR="00000000" w:rsidRPr="00000000">
        <w:rPr>
          <w:rFonts w:ascii="Roboto Mono" w:cs="Roboto Mono" w:eastAsia="Roboto Mono" w:hAnsi="Roboto Mono"/>
          <w:b w:val="1"/>
          <w:bCs w:val="1"/>
          <w:color w:val="188038"/>
          <w:rtl w:val="0"/>
        </w:rPr>
        <w:t xml:space="preserve">TC_001_MISSING_MANDATORY_INPUTS</w:t>
      </w:r>
      <w:r w:rsidDel="00000000" w:rsidR="00000000" w:rsidRPr="00000000">
        <w:rPr>
          <w:b w:val="1"/>
          <w:bCs w:val="1"/>
          <w:rtl w:val="0"/>
        </w:rPr>
        <w:t xml:space="preserve">)</w:t>
      </w:r>
      <w:r w:rsidDel="00000000" w:rsidR="00000000" w:rsidRPr="00000000">
        <w:rPr>
          <w:rtl w:val="0"/>
        </w:rPr>
        <w:t xml:space="preserve"> submits an empty renewal payload context to verify that the system breaks immediately at the gate instead of passing null variables down-line. </w:t>
      </w:r>
      <w:r w:rsidDel="00000000" w:rsidR="00000000" w:rsidRPr="00000000">
        <w:rPr>
          <w:b w:val="1"/>
          <w:bCs w:val="1"/>
          <w:rtl w:val="0"/>
        </w:rPr>
        <w:t xml:space="preserve">Scenario 2 (</w:t>
      </w:r>
      <w:r w:rsidDel="00000000" w:rsidR="00000000" w:rsidRPr="00000000">
        <w:rPr>
          <w:rFonts w:ascii="Roboto Mono" w:cs="Roboto Mono" w:eastAsia="Roboto Mono" w:hAnsi="Roboto Mono"/>
          <w:b w:val="1"/>
          <w:bCs w:val="1"/>
          <w:color w:val="188038"/>
          <w:rtl w:val="0"/>
        </w:rPr>
        <w:t xml:space="preserve">TC_002_EXTREME_VARIANCE_ROUTE</w:t>
      </w:r>
      <w:r w:rsidDel="00000000" w:rsidR="00000000" w:rsidRPr="00000000">
        <w:rPr>
          <w:b w:val="1"/>
          <w:bCs w:val="1"/>
          <w:rtl w:val="0"/>
        </w:rPr>
        <w:t xml:space="preserve">)</w:t>
      </w:r>
      <w:r w:rsidDel="00000000" w:rsidR="00000000" w:rsidRPr="00000000">
        <w:rPr>
          <w:rtl w:val="0"/>
        </w:rPr>
        <w:t xml:space="preserve"> passes valid contract identifiers but stubs the patient risk check to return an extreme variance flag, checking that the system skips pricing calculations, routes to the review board, and stamps database record </w:t>
      </w:r>
      <w:r w:rsidDel="00000000" w:rsidR="00000000" w:rsidRPr="00000000">
        <w:rPr>
          <w:rFonts w:ascii="Roboto Mono" w:cs="Roboto Mono" w:eastAsia="Roboto Mono" w:hAnsi="Roboto Mono"/>
          <w:color w:val="188038"/>
          <w:rtl w:val="0"/>
        </w:rPr>
        <w:t xml:space="preserve">"mock-uuid-888-bbb"</w:t>
      </w:r>
      <w:r w:rsidDel="00000000" w:rsidR="00000000" w:rsidRPr="00000000">
        <w:rPr>
          <w:rtl w:val="0"/>
        </w:rPr>
        <w:t xml:space="preserve"> as an </w:t>
      </w:r>
      <w:r w:rsidDel="00000000" w:rsidR="00000000" w:rsidRPr="00000000">
        <w:rPr>
          <w:rFonts w:ascii="Roboto Mono" w:cs="Roboto Mono" w:eastAsia="Roboto Mono" w:hAnsi="Roboto Mono"/>
          <w:color w:val="188038"/>
          <w:rtl w:val="0"/>
        </w:rPr>
        <w:t xml:space="preserve">"UNDERWRITING_HOLD"</w:t>
      </w:r>
      <w:r w:rsidDel="00000000" w:rsidR="00000000" w:rsidRPr="00000000">
        <w:rPr>
          <w:rtl w:val="0"/>
        </w:rPr>
        <w:t xml:space="preserve">. </w:t>
      </w:r>
      <w:r w:rsidDel="00000000" w:rsidR="00000000" w:rsidRPr="00000000">
        <w:rPr>
          <w:b w:val="1"/>
          <w:bCs w:val="1"/>
          <w:rtl w:val="0"/>
        </w:rPr>
        <w:t xml:space="preserve">Scenario 3 (</w:t>
      </w:r>
      <w:r w:rsidDel="00000000" w:rsidR="00000000" w:rsidRPr="00000000">
        <w:rPr>
          <w:rFonts w:ascii="Roboto Mono" w:cs="Roboto Mono" w:eastAsia="Roboto Mono" w:hAnsi="Roboto Mono"/>
          <w:b w:val="1"/>
          <w:bCs w:val="1"/>
          <w:color w:val="188038"/>
          <w:rtl w:val="0"/>
        </w:rPr>
        <w:t xml:space="preserve">TC_003_DELINQUENT_ACCOUNT_ROUTE</w:t>
      </w:r>
      <w:r w:rsidDel="00000000" w:rsidR="00000000" w:rsidRPr="00000000">
        <w:rPr>
          <w:b w:val="1"/>
          <w:bCs w:val="1"/>
          <w:rtl w:val="0"/>
        </w:rPr>
        <w:t xml:space="preserve">)</w:t>
      </w:r>
      <w:r w:rsidDel="00000000" w:rsidR="00000000" w:rsidRPr="00000000">
        <w:rPr>
          <w:rtl w:val="0"/>
        </w:rPr>
        <w:t xml:space="preserve"> uses identical payload parameters but maps the company profile status to </w:t>
      </w:r>
      <w:r w:rsidDel="00000000" w:rsidR="00000000" w:rsidRPr="00000000">
        <w:rPr>
          <w:rFonts w:ascii="Roboto Mono" w:cs="Roboto Mono" w:eastAsia="Roboto Mono" w:hAnsi="Roboto Mono"/>
          <w:color w:val="188038"/>
          <w:rtl w:val="0"/>
        </w:rPr>
        <w:t xml:space="preserve">"DELINQUENT"</w:t>
      </w:r>
      <w:r w:rsidDel="00000000" w:rsidR="00000000" w:rsidRPr="00000000">
        <w:rPr>
          <w:rtl w:val="0"/>
        </w:rPr>
        <w:t xml:space="preserve">, confirming that past-due contracts trigger the exact same routing restrictions and database freeze as Scenario 2.</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