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c8hlu83ulqx7" w:id="0"/>
      <w:bookmarkEnd w:id="0"/>
      <w:r w:rsidDel="00000000" w:rsidR="00000000" w:rsidRPr="00000000">
        <w:rPr>
          <w:b w:val="1"/>
          <w:bCs w:val="1"/>
          <w:sz w:val="34"/>
          <w:szCs w:val="34"/>
          <w:rtl w:val="0"/>
        </w:rPr>
        <w:t xml:space="preserve">Risk-Adjusted Reinsurance Premium Engine &amp; Underwriting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ReinsurancePremiumService (v1)</w:t>
      </w:r>
      <w:r w:rsidDel="00000000" w:rsidR="00000000" w:rsidRPr="00000000">
        <w:rPr>
          <w:rtl w:val="0"/>
        </w:rPr>
        <w:t xml:space="preserve"> automates dynamic risk-transfer adjustment calculations and financial treaty liability validation whenever a high-exposure primary insurance portfolio is submitted for retrocession pricing. Upon initialization, the orchestration engine must immediately pull three critical tracking keys from the ingestion payload: the </w:t>
      </w:r>
      <w:r w:rsidDel="00000000" w:rsidR="00000000" w:rsidRPr="00000000">
        <w:rPr>
          <w:b w:val="1"/>
          <w:bCs w:val="1"/>
          <w:rtl w:val="0"/>
        </w:rPr>
        <w:t xml:space="preserve">Ceding Company ID (</w:t>
      </w:r>
      <w:r w:rsidDel="00000000" w:rsidR="00000000" w:rsidRPr="00000000">
        <w:rPr>
          <w:rFonts w:ascii="Roboto Mono" w:cs="Roboto Mono" w:eastAsia="Roboto Mono" w:hAnsi="Roboto Mono"/>
          <w:b w:val="1"/>
          <w:bCs w:val="1"/>
          <w:color w:val="188038"/>
          <w:rtl w:val="0"/>
        </w:rPr>
        <w:t xml:space="preserve">cedingCompanyId</w:t>
      </w:r>
      <w:r w:rsidDel="00000000" w:rsidR="00000000" w:rsidRPr="00000000">
        <w:rPr>
          <w:b w:val="1"/>
          <w:bCs w:val="1"/>
          <w:rtl w:val="0"/>
        </w:rPr>
        <w:t xml:space="preserve">)</w:t>
      </w:r>
      <w:r w:rsidDel="00000000" w:rsidR="00000000" w:rsidRPr="00000000">
        <w:rPr>
          <w:rtl w:val="0"/>
        </w:rPr>
        <w:t xml:space="preserve"> to map structural treaty hierarchies, the </w:t>
      </w:r>
      <w:r w:rsidDel="00000000" w:rsidR="00000000" w:rsidRPr="00000000">
        <w:rPr>
          <w:b w:val="1"/>
          <w:bCs w:val="1"/>
          <w:rtl w:val="0"/>
        </w:rPr>
        <w:t xml:space="preserve">Gross Retained Premium (</w:t>
      </w:r>
      <w:r w:rsidDel="00000000" w:rsidR="00000000" w:rsidRPr="00000000">
        <w:rPr>
          <w:rFonts w:ascii="Roboto Mono" w:cs="Roboto Mono" w:eastAsia="Roboto Mono" w:hAnsi="Roboto Mono"/>
          <w:b w:val="1"/>
          <w:bCs w:val="1"/>
          <w:color w:val="188038"/>
          <w:rtl w:val="0"/>
        </w:rPr>
        <w:t xml:space="preserve">grossRetainedPremium</w:t>
      </w:r>
      <w:r w:rsidDel="00000000" w:rsidR="00000000" w:rsidRPr="00000000">
        <w:rPr>
          <w:b w:val="1"/>
          <w:bCs w:val="1"/>
          <w:rtl w:val="0"/>
        </w:rPr>
        <w:t xml:space="preserve">)</w:t>
      </w:r>
      <w:r w:rsidDel="00000000" w:rsidR="00000000" w:rsidRPr="00000000">
        <w:rPr>
          <w:rtl w:val="0"/>
        </w:rPr>
        <w:t xml:space="preserve"> to establish the primary billing baseline, and the </w:t>
      </w:r>
      <w:r w:rsidDel="00000000" w:rsidR="00000000" w:rsidRPr="00000000">
        <w:rPr>
          <w:b w:val="1"/>
          <w:bCs w:val="1"/>
          <w:rtl w:val="0"/>
        </w:rPr>
        <w:t xml:space="preserve">Risk Pool Token (</w:t>
      </w:r>
      <w:r w:rsidDel="00000000" w:rsidR="00000000" w:rsidRPr="00000000">
        <w:rPr>
          <w:rFonts w:ascii="Roboto Mono" w:cs="Roboto Mono" w:eastAsia="Roboto Mono" w:hAnsi="Roboto Mono"/>
          <w:b w:val="1"/>
          <w:bCs w:val="1"/>
          <w:color w:val="188038"/>
          <w:rtl w:val="0"/>
        </w:rPr>
        <w:t xml:space="preserve">riskPoolToken</w:t>
      </w:r>
      <w:r w:rsidDel="00000000" w:rsidR="00000000" w:rsidRPr="00000000">
        <w:rPr>
          <w:b w:val="1"/>
          <w:bCs w:val="1"/>
          <w:rtl w:val="0"/>
        </w:rPr>
        <w:t xml:space="preserve">)</w:t>
      </w:r>
      <w:r w:rsidDel="00000000" w:rsidR="00000000" w:rsidRPr="00000000">
        <w:rPr>
          <w:rtl w:val="0"/>
        </w:rPr>
        <w:t xml:space="preserve"> to trace catastrophic coverage history across the placement lifecycle. If any of these parameter keys are missing from the input request context, the program breaks instantly at the gate and throws an initialization exception, protecting our financial ledgers from processing unvalidated or broken files.</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data validation succeeds, the transaction progresses through a step-by-step background validation pipeline. It first triggers the </w:t>
      </w:r>
      <w:r w:rsidDel="00000000" w:rsidR="00000000" w:rsidRPr="00000000">
        <w:rPr>
          <w:rFonts w:ascii="Roboto Mono" w:cs="Roboto Mono" w:eastAsia="Roboto Mono" w:hAnsi="Roboto Mono"/>
          <w:color w:val="188038"/>
          <w:rtl w:val="0"/>
        </w:rPr>
        <w:t xml:space="preserve">TreatyRegistryService (v1)</w:t>
      </w:r>
      <w:r w:rsidDel="00000000" w:rsidR="00000000" w:rsidRPr="00000000">
        <w:rPr>
          <w:rtl w:val="0"/>
        </w:rPr>
        <w:t xml:space="preserve"> to pull the insurer's retention limits and historical underwriting loss ratio history, forcing the </w:t>
      </w:r>
      <w:r w:rsidDel="00000000" w:rsidR="00000000" w:rsidRPr="00000000">
        <w:rPr>
          <w:rFonts w:ascii="Roboto Mono" w:cs="Roboto Mono" w:eastAsia="Roboto Mono" w:hAnsi="Roboto Mono"/>
          <w:color w:val="188038"/>
          <w:rtl w:val="0"/>
        </w:rPr>
        <w:t xml:space="preserve">cedingCompanyId</w:t>
      </w:r>
      <w:r w:rsidDel="00000000" w:rsidR="00000000" w:rsidRPr="00000000">
        <w:rPr>
          <w:rtl w:val="0"/>
        </w:rPr>
        <w:t xml:space="preserve"> into the outbound payload map if it is missing. It then connects to the </w:t>
      </w:r>
      <w:r w:rsidDel="00000000" w:rsidR="00000000" w:rsidRPr="00000000">
        <w:rPr>
          <w:rFonts w:ascii="Roboto Mono" w:cs="Roboto Mono" w:eastAsia="Roboto Mono" w:hAnsi="Roboto Mono"/>
          <w:color w:val="188038"/>
          <w:rtl w:val="0"/>
        </w:rPr>
        <w:t xml:space="preserve">CatastropheModelingService (v1)</w:t>
      </w:r>
      <w:r w:rsidDel="00000000" w:rsidR="00000000" w:rsidRPr="00000000">
        <w:rPr>
          <w:rtl w:val="0"/>
        </w:rPr>
        <w:t xml:space="preserve"> to retrieve localized exposure tier codes and verify maximum probable maximum loss (PML) parameters. Following these microservice evaluations, the system streams records from the </w:t>
      </w:r>
      <w:r w:rsidDel="00000000" w:rsidR="00000000" w:rsidRPr="00000000">
        <w:rPr>
          <w:rFonts w:ascii="Roboto Mono" w:cs="Roboto Mono" w:eastAsia="Roboto Mono" w:hAnsi="Roboto Mono"/>
          <w:color w:val="188038"/>
          <w:rtl w:val="0"/>
        </w:rPr>
        <w:t xml:space="preserve">ReinsuranceTreatyMatrix</w:t>
      </w:r>
      <w:r w:rsidDel="00000000" w:rsidR="00000000" w:rsidRPr="00000000">
        <w:rPr>
          <w:rtl w:val="0"/>
        </w:rPr>
        <w:t xml:space="preserve"> database table using a filter matching the </w:t>
      </w:r>
      <w:r w:rsidDel="00000000" w:rsidR="00000000" w:rsidRPr="00000000">
        <w:rPr>
          <w:rFonts w:ascii="Roboto Mono" w:cs="Roboto Mono" w:eastAsia="Roboto Mono" w:hAnsi="Roboto Mono"/>
          <w:color w:val="188038"/>
          <w:rtl w:val="0"/>
        </w:rPr>
        <w:t xml:space="preserve">riskPoolToken</w:t>
      </w:r>
      <w:r w:rsidDel="00000000" w:rsidR="00000000" w:rsidRPr="00000000">
        <w:rPr>
          <w:rtl w:val="0"/>
        </w:rPr>
        <w:t xml:space="preserve"> to isolate the unique tracking identifier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current pool's baseline treaty markup percentage (</w:t>
      </w:r>
      <w:r w:rsidDel="00000000" w:rsidR="00000000" w:rsidRPr="00000000">
        <w:rPr>
          <w:rFonts w:ascii="Roboto Mono" w:cs="Roboto Mono" w:eastAsia="Roboto Mono" w:hAnsi="Roboto Mono"/>
          <w:color w:val="188038"/>
          <w:rtl w:val="0"/>
        </w:rPr>
        <w:t xml:space="preserve">treaty_markup_percentage</w:t>
      </w:r>
      <w:r w:rsidDel="00000000" w:rsidR="00000000" w:rsidRPr="00000000">
        <w:rPr>
          <w:rtl w:val="0"/>
        </w:rPr>
        <w:t xml:space="preserve">). Finally, the system references the exposure tier code extracted during the second step to query the </w:t>
      </w:r>
      <w:r w:rsidDel="00000000" w:rsidR="00000000" w:rsidRPr="00000000">
        <w:rPr>
          <w:rFonts w:ascii="Roboto Mono" w:cs="Roboto Mono" w:eastAsia="Roboto Mono" w:hAnsi="Roboto Mono"/>
          <w:color w:val="188038"/>
          <w:rtl w:val="0"/>
        </w:rPr>
        <w:t xml:space="preserve">JurisdictionalTaxSurcharge</w:t>
      </w:r>
      <w:r w:rsidDel="00000000" w:rsidR="00000000" w:rsidRPr="00000000">
        <w:rPr>
          <w:rtl w:val="0"/>
        </w:rPr>
        <w:t xml:space="preserve"> database table and pull the corresponding regional </w:t>
      </w:r>
      <w:r w:rsidDel="00000000" w:rsidR="00000000" w:rsidRPr="00000000">
        <w:rPr>
          <w:rFonts w:ascii="Roboto Mono" w:cs="Roboto Mono" w:eastAsia="Roboto Mono" w:hAnsi="Roboto Mono"/>
          <w:color w:val="188038"/>
          <w:rtl w:val="0"/>
        </w:rPr>
        <w:t xml:space="preserve">tax_surcharge_percentage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executing final reinsurance rate distributions or passing premium layers to the general ledger, the system routes the transaction context through a strict cost-mitigation gate. If the ceding company’s profile reveals that their operational license status is </w:t>
      </w:r>
      <w:r w:rsidDel="00000000" w:rsidR="00000000" w:rsidRPr="00000000">
        <w:rPr>
          <w:rFonts w:ascii="Roboto Mono" w:cs="Roboto Mono" w:eastAsia="Roboto Mono" w:hAnsi="Roboto Mono"/>
          <w:b w:val="1"/>
          <w:bCs w:val="1"/>
          <w:color w:val="188038"/>
          <w:rtl w:val="0"/>
        </w:rPr>
        <w:t xml:space="preserve">"NON_COMPLIANT"</w:t>
      </w:r>
      <w:r w:rsidDel="00000000" w:rsidR="00000000" w:rsidRPr="00000000">
        <w:rPr>
          <w:rtl w:val="0"/>
        </w:rPr>
        <w:t xml:space="preserve"> or if the modeling engine flags an extreme risk concentration anomaly (</w:t>
      </w:r>
      <w:r w:rsidDel="00000000" w:rsidR="00000000" w:rsidRPr="00000000">
        <w:rPr>
          <w:rFonts w:ascii="Roboto Mono" w:cs="Roboto Mono" w:eastAsia="Roboto Mono" w:hAnsi="Roboto Mono"/>
          <w:b w:val="1"/>
          <w:bCs w:val="1"/>
          <w:color w:val="188038"/>
          <w:rtl w:val="0"/>
        </w:rPr>
        <w:t xml:space="preserve">extremeRiskConcentrationFlag</w:t>
      </w:r>
      <w:r w:rsidDel="00000000" w:rsidR="00000000" w:rsidRPr="00000000">
        <w:rPr>
          <w:b w:val="1"/>
          <w:bCs w:val="1"/>
          <w:rtl w:val="0"/>
        </w:rPr>
        <w:t xml:space="preserve"> is true</w:t>
      </w:r>
      <w:r w:rsidDel="00000000" w:rsidR="00000000" w:rsidRPr="00000000">
        <w:rPr>
          <w:rtl w:val="0"/>
        </w:rPr>
        <w:t xml:space="preserve">), automated premium adjustments are instantly aborted. The transaction is diverted away from the standard automated clearing track and routed directly to the </w:t>
      </w:r>
      <w:r w:rsidDel="00000000" w:rsidR="00000000" w:rsidRPr="00000000">
        <w:rPr>
          <w:b w:val="1"/>
          <w:bCs w:val="1"/>
          <w:rtl w:val="0"/>
        </w:rPr>
        <w:t xml:space="preserve">UnderwritingReviewBoardService (v1)</w:t>
      </w:r>
      <w:r w:rsidDel="00000000" w:rsidR="00000000" w:rsidRPr="00000000">
        <w:rPr>
          <w:rtl w:val="0"/>
        </w:rPr>
        <w:t xml:space="preserve"> for a manual, high-tier forensic audit. Simultaneously, the engine executes a database lockdown sequence on the </w:t>
      </w:r>
      <w:r w:rsidDel="00000000" w:rsidR="00000000" w:rsidRPr="00000000">
        <w:rPr>
          <w:rFonts w:ascii="Roboto Mono" w:cs="Roboto Mono" w:eastAsia="Roboto Mono" w:hAnsi="Roboto Mono"/>
          <w:color w:val="188038"/>
          <w:rtl w:val="0"/>
        </w:rPr>
        <w:t xml:space="preserve">ReinsuranceTreatyMatrix</w:t>
      </w:r>
      <w:r w:rsidDel="00000000" w:rsidR="00000000" w:rsidRPr="00000000">
        <w:rPr>
          <w:rtl w:val="0"/>
        </w:rPr>
        <w:t xml:space="preserve"> record matching the streamed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resetting the record's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"UNDERWRITING_HOLD"</w:t>
      </w:r>
      <w:r w:rsidDel="00000000" w:rsidR="00000000" w:rsidRPr="00000000">
        <w:rPr>
          <w:rtl w:val="0"/>
        </w:rPr>
        <w:t xml:space="preserve">, appending a processing outcome log detailing the explicit treaty compliance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the implementation precisely matches our actuarial pricing models and structural compliance rules, the automated testing suite must validate three distinct configurations.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submits an empty orchestration context map to verify that the system breaks immediately at the gate instead of passing null variables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passes valid contract identifiers but stubs the catastrophe risk check to return an extreme concentration flag, checking that the system skips standard optimization logic, routes to the review board, and stamps database record </w:t>
      </w:r>
      <w:r w:rsidDel="00000000" w:rsidR="00000000" w:rsidRPr="00000000">
        <w:rPr>
          <w:rFonts w:ascii="Roboto Mono" w:cs="Roboto Mono" w:eastAsia="Roboto Mono" w:hAnsi="Roboto Mono"/>
          <w:color w:val="188038"/>
          <w:rtl w:val="0"/>
        </w:rPr>
        <w:t xml:space="preserve">"mock-uuid-333-ggg"</w:t>
      </w:r>
      <w:r w:rsidDel="00000000" w:rsidR="00000000" w:rsidRPr="00000000">
        <w:rPr>
          <w:rtl w:val="0"/>
        </w:rPr>
        <w:t xml:space="preserve"> as an </w:t>
      </w:r>
      <w:r w:rsidDel="00000000" w:rsidR="00000000" w:rsidRPr="00000000">
        <w:rPr>
          <w:rFonts w:ascii="Roboto Mono" w:cs="Roboto Mono" w:eastAsia="Roboto Mono" w:hAnsi="Roboto Mono"/>
          <w:color w:val="188038"/>
          <w:rtl w:val="0"/>
        </w:rPr>
        <w:t xml:space="preserve">"UNDERWRITING_HOLD"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TC_003_NON_COMPLIANT_COMPANY_ROUTE</w:t>
      </w:r>
      <w:r w:rsidDel="00000000" w:rsidR="00000000" w:rsidRPr="00000000">
        <w:rPr>
          <w:b w:val="1"/>
          <w:bCs w:val="1"/>
          <w:rtl w:val="0"/>
        </w:rPr>
        <w:t xml:space="preserve">)</w:t>
      </w:r>
      <w:r w:rsidDel="00000000" w:rsidR="00000000" w:rsidRPr="00000000">
        <w:rPr>
          <w:rtl w:val="0"/>
        </w:rPr>
        <w:t xml:space="preserve"> uses identical payload parameters but maps the company profile status to </w:t>
      </w:r>
      <w:r w:rsidDel="00000000" w:rsidR="00000000" w:rsidRPr="00000000">
        <w:rPr>
          <w:rFonts w:ascii="Roboto Mono" w:cs="Roboto Mono" w:eastAsia="Roboto Mono" w:hAnsi="Roboto Mono"/>
          <w:color w:val="188038"/>
          <w:rtl w:val="0"/>
        </w:rPr>
        <w:t xml:space="preserve">"NON_COMPLIANT"</w:t>
      </w:r>
      <w:r w:rsidDel="00000000" w:rsidR="00000000" w:rsidRPr="00000000">
        <w:rPr>
          <w:rtl w:val="0"/>
        </w:rPr>
        <w:t xml:space="preserve">, confirming that unrated or restricted contracts trigger the exact same routing restrictions and database freeze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