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6erxlj4vl14l" w:id="0"/>
      <w:bookmarkEnd w:id="0"/>
      <w:r w:rsidDel="00000000" w:rsidR="00000000" w:rsidRPr="00000000">
        <w:rPr>
          <w:b w:val="1"/>
          <w:bCs w:val="1"/>
          <w:sz w:val="34"/>
          <w:szCs w:val="34"/>
          <w:rtl w:val="0"/>
        </w:rPr>
        <w:t xml:space="preserve">Risk-Adjusted Risk-Corridor Settlement &amp; Corporate Guardrails</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RiskCorridorSettlementService (v1)</w:t>
      </w:r>
      <w:r w:rsidDel="00000000" w:rsidR="00000000" w:rsidRPr="00000000">
        <w:rPr>
          <w:rtl w:val="0"/>
        </w:rPr>
        <w:t xml:space="preserve"> automates dynamic financial risk-sharing adjustment calculations and stabilization fund threshold validation whenever a multi-tier commercial health plan insurance portfolio is submitted for annual reconciliation. Upon initialization, the core orchestration engine must immediately isolate three baseline tracking keys from the inbound payload: the </w:t>
      </w:r>
      <w:r w:rsidDel="00000000" w:rsidR="00000000" w:rsidRPr="00000000">
        <w:rPr>
          <w:b w:val="1"/>
          <w:bCs w:val="1"/>
          <w:rtl w:val="0"/>
        </w:rPr>
        <w:t xml:space="preserve">Underwriting Carrier ID (</w:t>
      </w:r>
      <w:r w:rsidDel="00000000" w:rsidR="00000000" w:rsidRPr="00000000">
        <w:rPr>
          <w:rFonts w:ascii="Roboto Mono" w:cs="Roboto Mono" w:eastAsia="Roboto Mono" w:hAnsi="Roboto Mono"/>
          <w:b w:val="1"/>
          <w:bCs w:val="1"/>
          <w:color w:val="188038"/>
          <w:rtl w:val="0"/>
        </w:rPr>
        <w:t xml:space="preserve">underwritingCarrierId</w:t>
      </w:r>
      <w:r w:rsidDel="00000000" w:rsidR="00000000" w:rsidRPr="00000000">
        <w:rPr>
          <w:b w:val="1"/>
          <w:bCs w:val="1"/>
          <w:rtl w:val="0"/>
        </w:rPr>
        <w:t xml:space="preserve">)</w:t>
      </w:r>
      <w:r w:rsidDel="00000000" w:rsidR="00000000" w:rsidRPr="00000000">
        <w:rPr>
          <w:rtl w:val="0"/>
        </w:rPr>
        <w:t xml:space="preserve"> to map structural enterprise reinsurance hierarchies, the </w:t>
      </w:r>
      <w:r w:rsidDel="00000000" w:rsidR="00000000" w:rsidRPr="00000000">
        <w:rPr>
          <w:b w:val="1"/>
          <w:bCs w:val="1"/>
          <w:rtl w:val="0"/>
        </w:rPr>
        <w:t xml:space="preserve">Gross Allowable Claims Baseline (</w:t>
      </w:r>
      <w:r w:rsidDel="00000000" w:rsidR="00000000" w:rsidRPr="00000000">
        <w:rPr>
          <w:rFonts w:ascii="Roboto Mono" w:cs="Roboto Mono" w:eastAsia="Roboto Mono" w:hAnsi="Roboto Mono"/>
          <w:b w:val="1"/>
          <w:bCs w:val="1"/>
          <w:color w:val="188038"/>
          <w:rtl w:val="0"/>
        </w:rPr>
        <w:t xml:space="preserve">grossAllowableClaimsBaseline</w:t>
      </w:r>
      <w:r w:rsidDel="00000000" w:rsidR="00000000" w:rsidRPr="00000000">
        <w:rPr>
          <w:b w:val="1"/>
          <w:bCs w:val="1"/>
          <w:rtl w:val="0"/>
        </w:rPr>
        <w:t xml:space="preserve">)</w:t>
      </w:r>
      <w:r w:rsidDel="00000000" w:rsidR="00000000" w:rsidRPr="00000000">
        <w:rPr>
          <w:rtl w:val="0"/>
        </w:rPr>
        <w:t xml:space="preserve"> to establish the primary billing target, and the </w:t>
      </w:r>
      <w:r w:rsidDel="00000000" w:rsidR="00000000" w:rsidRPr="00000000">
        <w:rPr>
          <w:b w:val="1"/>
          <w:bCs w:val="1"/>
          <w:rtl w:val="0"/>
        </w:rPr>
        <w:t xml:space="preserve">Risk Corridor Pool Token (</w:t>
      </w:r>
      <w:r w:rsidDel="00000000" w:rsidR="00000000" w:rsidRPr="00000000">
        <w:rPr>
          <w:rFonts w:ascii="Roboto Mono" w:cs="Roboto Mono" w:eastAsia="Roboto Mono" w:hAnsi="Roboto Mono"/>
          <w:b w:val="1"/>
          <w:bCs w:val="1"/>
          <w:color w:val="188038"/>
          <w:rtl w:val="0"/>
        </w:rPr>
        <w:t xml:space="preserve">riskCorridorPoolToken</w:t>
      </w:r>
      <w:r w:rsidDel="00000000" w:rsidR="00000000" w:rsidRPr="00000000">
        <w:rPr>
          <w:b w:val="1"/>
          <w:bCs w:val="1"/>
          <w:rtl w:val="0"/>
        </w:rPr>
        <w:t xml:space="preserve">)</w:t>
      </w:r>
      <w:r w:rsidDel="00000000" w:rsidR="00000000" w:rsidRPr="00000000">
        <w:rPr>
          <w:rtl w:val="0"/>
        </w:rPr>
        <w:t xml:space="preserve"> to trace federal or state reinsurance stabilization targets. If any of these parameter keys are missing or unreadable during initial casting, the process terminates immediately at the gate and throws an orchestration pipeline exception, protecting downstream risk pools and ledger accounts from unvalidated financial risk.</w:t>
      </w:r>
    </w:p>
    <w:p w:rsidR="00000000" w:rsidDel="00000000" w:rsidP="00000000" w:rsidRDefault="00000000" w:rsidRPr="00000000" w14:paraId="00000003">
      <w:pPr>
        <w:spacing w:after="240" w:before="240" w:lineRule="auto"/>
        <w:rPr/>
      </w:pPr>
      <w:r w:rsidDel="00000000" w:rsidR="00000000" w:rsidRPr="00000000">
        <w:rPr>
          <w:rtl w:val="0"/>
        </w:rPr>
        <w:t xml:space="preserve">Once initial verification is complete, the transaction moves sequentially through a background validation pipeline. It first calls the </w:t>
      </w:r>
      <w:r w:rsidDel="00000000" w:rsidR="00000000" w:rsidRPr="00000000">
        <w:rPr>
          <w:rFonts w:ascii="Roboto Mono" w:cs="Roboto Mono" w:eastAsia="Roboto Mono" w:hAnsi="Roboto Mono"/>
          <w:color w:val="188038"/>
          <w:rtl w:val="0"/>
        </w:rPr>
        <w:t xml:space="preserve">CarrierRegistryService (v1)</w:t>
      </w:r>
      <w:r w:rsidDel="00000000" w:rsidR="00000000" w:rsidRPr="00000000">
        <w:rPr>
          <w:rtl w:val="0"/>
        </w:rPr>
        <w:t xml:space="preserve"> to pull carrier-specific premium retention targets and historical enrollment records, forcing the </w:t>
      </w:r>
      <w:r w:rsidDel="00000000" w:rsidR="00000000" w:rsidRPr="00000000">
        <w:rPr>
          <w:rFonts w:ascii="Roboto Mono" w:cs="Roboto Mono" w:eastAsia="Roboto Mono" w:hAnsi="Roboto Mono"/>
          <w:color w:val="188038"/>
          <w:rtl w:val="0"/>
        </w:rPr>
        <w:t xml:space="preserve">underwritingCarrierId</w:t>
      </w:r>
      <w:r w:rsidDel="00000000" w:rsidR="00000000" w:rsidRPr="00000000">
        <w:rPr>
          <w:rtl w:val="0"/>
        </w:rPr>
        <w:t xml:space="preserve"> into the target outbound request map if it is omitted. It then queries the </w:t>
      </w:r>
      <w:r w:rsidDel="00000000" w:rsidR="00000000" w:rsidRPr="00000000">
        <w:rPr>
          <w:rFonts w:ascii="Roboto Mono" w:cs="Roboto Mono" w:eastAsia="Roboto Mono" w:hAnsi="Roboto Mono"/>
          <w:color w:val="188038"/>
          <w:rtl w:val="0"/>
        </w:rPr>
        <w:t xml:space="preserve">RiskStabilizationComplianceService (v1)</w:t>
      </w:r>
      <w:r w:rsidDel="00000000" w:rsidR="00000000" w:rsidRPr="00000000">
        <w:rPr>
          <w:rtl w:val="0"/>
        </w:rPr>
        <w:t xml:space="preserve"> to retrieve medical loss ratio (MLR) deviation tier codes and confirm the active actuarial risk classification tier. Following these microservice validations, the system streams records from the </w:t>
      </w:r>
      <w:r w:rsidDel="00000000" w:rsidR="00000000" w:rsidRPr="00000000">
        <w:rPr>
          <w:rFonts w:ascii="Roboto Mono" w:cs="Roboto Mono" w:eastAsia="Roboto Mono" w:hAnsi="Roboto Mono"/>
          <w:color w:val="188038"/>
          <w:rtl w:val="0"/>
        </w:rPr>
        <w:t xml:space="preserve">RiskCorridorThresholdMatrix</w:t>
      </w:r>
      <w:r w:rsidDel="00000000" w:rsidR="00000000" w:rsidRPr="00000000">
        <w:rPr>
          <w:rtl w:val="0"/>
        </w:rPr>
        <w:t xml:space="preserve"> database table using a filter matching the </w:t>
      </w:r>
      <w:r w:rsidDel="00000000" w:rsidR="00000000" w:rsidRPr="00000000">
        <w:rPr>
          <w:rFonts w:ascii="Roboto Mono" w:cs="Roboto Mono" w:eastAsia="Roboto Mono" w:hAnsi="Roboto Mono"/>
          <w:color w:val="188038"/>
          <w:rtl w:val="0"/>
        </w:rPr>
        <w:t xml:space="preserve">riskCorridorPoolToken</w:t>
      </w:r>
      <w:r w:rsidDel="00000000" w:rsidR="00000000" w:rsidRPr="00000000">
        <w:rPr>
          <w:rtl w:val="0"/>
        </w:rPr>
        <w:t xml:space="preserve"> to capture the unique tracking database handle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and the target pool's maximum allowable corridor payout percentage (</w:t>
      </w:r>
      <w:r w:rsidDel="00000000" w:rsidR="00000000" w:rsidRPr="00000000">
        <w:rPr>
          <w:rFonts w:ascii="Roboto Mono" w:cs="Roboto Mono" w:eastAsia="Roboto Mono" w:hAnsi="Roboto Mono"/>
          <w:color w:val="188038"/>
          <w:rtl w:val="0"/>
        </w:rPr>
        <w:t xml:space="preserve">max_corridor_payout_percentage</w:t>
      </w:r>
      <w:r w:rsidDel="00000000" w:rsidR="00000000" w:rsidRPr="00000000">
        <w:rPr>
          <w:rtl w:val="0"/>
        </w:rPr>
        <w:t xml:space="preserve">). Finally, the system takes the risk tier code retrieved in the second step to query the </w:t>
      </w:r>
      <w:r w:rsidDel="00000000" w:rsidR="00000000" w:rsidRPr="00000000">
        <w:rPr>
          <w:rFonts w:ascii="Roboto Mono" w:cs="Roboto Mono" w:eastAsia="Roboto Mono" w:hAnsi="Roboto Mono"/>
          <w:color w:val="188038"/>
          <w:rtl w:val="0"/>
        </w:rPr>
        <w:t xml:space="preserve">JurisdictionalTaxSurcharge</w:t>
      </w:r>
      <w:r w:rsidDel="00000000" w:rsidR="00000000" w:rsidRPr="00000000">
        <w:rPr>
          <w:rtl w:val="0"/>
        </w:rPr>
        <w:t xml:space="preserve"> database table and apply the localized regional </w:t>
      </w:r>
      <w:r w:rsidDel="00000000" w:rsidR="00000000" w:rsidRPr="00000000">
        <w:rPr>
          <w:rFonts w:ascii="Roboto Mono" w:cs="Roboto Mono" w:eastAsia="Roboto Mono" w:hAnsi="Roboto Mono"/>
          <w:color w:val="188038"/>
          <w:rtl w:val="0"/>
        </w:rPr>
        <w:t xml:space="preserve">tax_surcharge_percentage</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Before saving calculated totals to the corporate risk-adjustment ledger or issuing a permanent financial clearance stamp, the transaction context passes through a strict cost-mitigation filter. If the carrier's enrollment status is explicitly marked as </w:t>
      </w:r>
      <w:r w:rsidDel="00000000" w:rsidR="00000000" w:rsidRPr="00000000">
        <w:rPr>
          <w:rFonts w:ascii="Roboto Mono" w:cs="Roboto Mono" w:eastAsia="Roboto Mono" w:hAnsi="Roboto Mono"/>
          <w:b w:val="1"/>
          <w:bCs w:val="1"/>
          <w:color w:val="188038"/>
          <w:rtl w:val="0"/>
        </w:rPr>
        <w:t xml:space="preserve">"SUSPENDED"</w:t>
      </w:r>
      <w:r w:rsidDel="00000000" w:rsidR="00000000" w:rsidRPr="00000000">
        <w:rPr>
          <w:rtl w:val="0"/>
        </w:rPr>
        <w:t xml:space="preserve"> or if the stabilization compliance engine flags an extreme spend variance threshold (</w:t>
      </w:r>
      <w:r w:rsidDel="00000000" w:rsidR="00000000" w:rsidRPr="00000000">
        <w:rPr>
          <w:rFonts w:ascii="Roboto Mono" w:cs="Roboto Mono" w:eastAsia="Roboto Mono" w:hAnsi="Roboto Mono"/>
          <w:b w:val="1"/>
          <w:bCs w:val="1"/>
          <w:color w:val="188038"/>
          <w:rtl w:val="0"/>
        </w:rPr>
        <w:t xml:space="preserve">extremeSpendVarianceFlag</w:t>
      </w:r>
      <w:r w:rsidDel="00000000" w:rsidR="00000000" w:rsidRPr="00000000">
        <w:rPr>
          <w:b w:val="1"/>
          <w:bCs w:val="1"/>
          <w:rtl w:val="0"/>
        </w:rPr>
        <w:t xml:space="preserve"> is true</w:t>
      </w:r>
      <w:r w:rsidDel="00000000" w:rsidR="00000000" w:rsidRPr="00000000">
        <w:rPr>
          <w:rtl w:val="0"/>
        </w:rPr>
        <w:t xml:space="preserve">), automated risk-corridor payout calculations are instantly aborted. The transaction context is diverted away from the standard automated track and sent directly to the </w:t>
      </w:r>
      <w:r w:rsidDel="00000000" w:rsidR="00000000" w:rsidRPr="00000000">
        <w:rPr>
          <w:b w:val="1"/>
          <w:bCs w:val="1"/>
          <w:rtl w:val="0"/>
        </w:rPr>
        <w:t xml:space="preserve">ActuarialReviewBoardService (v1)</w:t>
      </w:r>
      <w:r w:rsidDel="00000000" w:rsidR="00000000" w:rsidRPr="00000000">
        <w:rPr>
          <w:rtl w:val="0"/>
        </w:rPr>
        <w:t xml:space="preserve"> for a manual, high-tier forensic audit. Simultaneously, the engine locks down the specific database row in the </w:t>
      </w:r>
      <w:r w:rsidDel="00000000" w:rsidR="00000000" w:rsidRPr="00000000">
        <w:rPr>
          <w:rFonts w:ascii="Roboto Mono" w:cs="Roboto Mono" w:eastAsia="Roboto Mono" w:hAnsi="Roboto Mono"/>
          <w:color w:val="188038"/>
          <w:rtl w:val="0"/>
        </w:rPr>
        <w:t xml:space="preserve">RiskCorridorThresholdMatrix</w:t>
      </w:r>
      <w:r w:rsidDel="00000000" w:rsidR="00000000" w:rsidRPr="00000000">
        <w:rPr>
          <w:rtl w:val="0"/>
        </w:rPr>
        <w:t xml:space="preserve"> matching the streamed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setting its </w:t>
      </w:r>
      <w:r w:rsidDel="00000000" w:rsidR="00000000" w:rsidRPr="00000000">
        <w:rPr>
          <w:rFonts w:ascii="Roboto Mono" w:cs="Roboto Mono" w:eastAsia="Roboto Mono" w:hAnsi="Roboto Mono"/>
          <w:color w:val="188038"/>
          <w:rtl w:val="0"/>
        </w:rPr>
        <w:t xml:space="preserve">adjudication_status</w:t>
      </w:r>
      <w:r w:rsidDel="00000000" w:rsidR="00000000" w:rsidRPr="00000000">
        <w:rPr>
          <w:rtl w:val="0"/>
        </w:rPr>
        <w:t xml:space="preserve"> to </w:t>
      </w:r>
      <w:r w:rsidDel="00000000" w:rsidR="00000000" w:rsidRPr="00000000">
        <w:rPr>
          <w:rFonts w:ascii="Roboto Mono" w:cs="Roboto Mono" w:eastAsia="Roboto Mono" w:hAnsi="Roboto Mono"/>
          <w:b w:val="1"/>
          <w:bCs w:val="1"/>
          <w:color w:val="188038"/>
          <w:rtl w:val="0"/>
        </w:rPr>
        <w:t xml:space="preserve">"RISK_CORRIDOR_HOLD"</w:t>
      </w:r>
      <w:r w:rsidDel="00000000" w:rsidR="00000000" w:rsidRPr="00000000">
        <w:rPr>
          <w:rtl w:val="0"/>
        </w:rPr>
        <w:t xml:space="preserve">, logging a processing note detailing the explicit compliance flag breach, and stamping it with the system's current date and time.</w:t>
      </w:r>
    </w:p>
    <w:p w:rsidR="00000000" w:rsidDel="00000000" w:rsidP="00000000" w:rsidRDefault="00000000" w:rsidRPr="00000000" w14:paraId="00000005">
      <w:pPr>
        <w:spacing w:after="240" w:before="240" w:lineRule="auto"/>
        <w:rPr/>
      </w:pPr>
      <w:r w:rsidDel="00000000" w:rsidR="00000000" w:rsidRPr="00000000">
        <w:rPr>
          <w:rtl w:val="0"/>
        </w:rPr>
        <w:t xml:space="preserve">To guarantee that developers implement this orchestration flow to exact financial and regulatory compliance specifications, the automated testing framework must validate three distinct system behaviors. </w:t>
      </w:r>
      <w:r w:rsidDel="00000000" w:rsidR="00000000" w:rsidRPr="00000000">
        <w:rPr>
          <w:b w:val="1"/>
          <w:bCs w:val="1"/>
          <w:rtl w:val="0"/>
        </w:rPr>
        <w:t xml:space="preserve">Scenario 1 (</w:t>
      </w:r>
      <w:r w:rsidDel="00000000" w:rsidR="00000000" w:rsidRPr="00000000">
        <w:rPr>
          <w:rFonts w:ascii="Roboto Mono" w:cs="Roboto Mono" w:eastAsia="Roboto Mono" w:hAnsi="Roboto Mono"/>
          <w:b w:val="1"/>
          <w:bCs w:val="1"/>
          <w:color w:val="188038"/>
          <w:rtl w:val="0"/>
        </w:rPr>
        <w:t xml:space="preserve">TC_001_MISSING_MANDATORY_INPUTS</w:t>
      </w:r>
      <w:r w:rsidDel="00000000" w:rsidR="00000000" w:rsidRPr="00000000">
        <w:rPr>
          <w:b w:val="1"/>
          <w:bCs w:val="1"/>
          <w:rtl w:val="0"/>
        </w:rPr>
        <w:t xml:space="preserve">)</w:t>
      </w:r>
      <w:r w:rsidDel="00000000" w:rsidR="00000000" w:rsidRPr="00000000">
        <w:rPr>
          <w:rtl w:val="0"/>
        </w:rPr>
        <w:t xml:space="preserve"> transmits an empty initialization payload to verify that the core service breaks instantly instead of allowing null parameters to process down-line. </w:t>
      </w:r>
      <w:r w:rsidDel="00000000" w:rsidR="00000000" w:rsidRPr="00000000">
        <w:rPr>
          <w:b w:val="1"/>
          <w:bCs w:val="1"/>
          <w:rtl w:val="0"/>
        </w:rPr>
        <w:t xml:space="preserve">Scenario 2 (</w:t>
      </w:r>
      <w:r w:rsidDel="00000000" w:rsidR="00000000" w:rsidRPr="00000000">
        <w:rPr>
          <w:rFonts w:ascii="Roboto Mono" w:cs="Roboto Mono" w:eastAsia="Roboto Mono" w:hAnsi="Roboto Mono"/>
          <w:b w:val="1"/>
          <w:bCs w:val="1"/>
          <w:color w:val="188038"/>
          <w:rtl w:val="0"/>
        </w:rPr>
        <w:t xml:space="preserve">TC_002_EXTREME_VARIANCE_ROUTE</w:t>
      </w:r>
      <w:r w:rsidDel="00000000" w:rsidR="00000000" w:rsidRPr="00000000">
        <w:rPr>
          <w:b w:val="1"/>
          <w:bCs w:val="1"/>
          <w:rtl w:val="0"/>
        </w:rPr>
        <w:t xml:space="preserve">)</w:t>
      </w:r>
      <w:r w:rsidDel="00000000" w:rsidR="00000000" w:rsidRPr="00000000">
        <w:rPr>
          <w:rtl w:val="0"/>
        </w:rPr>
        <w:t xml:space="preserve"> inputs fully valid identification keys but stubs the stabilization verification response to return an active spend variance flag, checking that the system halts financial math, routes directly to the actuarial review board, and stamps record </w:t>
      </w:r>
      <w:r w:rsidDel="00000000" w:rsidR="00000000" w:rsidRPr="00000000">
        <w:rPr>
          <w:rFonts w:ascii="Roboto Mono" w:cs="Roboto Mono" w:eastAsia="Roboto Mono" w:hAnsi="Roboto Mono"/>
          <w:color w:val="188038"/>
          <w:rtl w:val="0"/>
        </w:rPr>
        <w:t xml:space="preserve">"mock-uuid-777-mmm"</w:t>
      </w:r>
      <w:r w:rsidDel="00000000" w:rsidR="00000000" w:rsidRPr="00000000">
        <w:rPr>
          <w:rtl w:val="0"/>
        </w:rPr>
        <w:t xml:space="preserve"> as a </w:t>
      </w:r>
      <w:r w:rsidDel="00000000" w:rsidR="00000000" w:rsidRPr="00000000">
        <w:rPr>
          <w:rFonts w:ascii="Roboto Mono" w:cs="Roboto Mono" w:eastAsia="Roboto Mono" w:hAnsi="Roboto Mono"/>
          <w:color w:val="188038"/>
          <w:rtl w:val="0"/>
        </w:rPr>
        <w:t xml:space="preserve">"RISK_CORRIDOR_HOLD"</w:t>
      </w:r>
      <w:r w:rsidDel="00000000" w:rsidR="00000000" w:rsidRPr="00000000">
        <w:rPr>
          <w:rtl w:val="0"/>
        </w:rPr>
        <w:t xml:space="preserve">. </w:t>
      </w:r>
      <w:r w:rsidDel="00000000" w:rsidR="00000000" w:rsidRPr="00000000">
        <w:rPr>
          <w:b w:val="1"/>
          <w:bCs w:val="1"/>
          <w:rtl w:val="0"/>
        </w:rPr>
        <w:t xml:space="preserve">Scenario 3 (</w:t>
      </w:r>
      <w:r w:rsidDel="00000000" w:rsidR="00000000" w:rsidRPr="00000000">
        <w:rPr>
          <w:rFonts w:ascii="Roboto Mono" w:cs="Roboto Mono" w:eastAsia="Roboto Mono" w:hAnsi="Roboto Mono"/>
          <w:b w:val="1"/>
          <w:bCs w:val="1"/>
          <w:color w:val="188038"/>
          <w:rtl w:val="0"/>
        </w:rPr>
        <w:t xml:space="preserve">TC_003_CARRIER_SUSPENDED_ROUTE</w:t>
      </w:r>
      <w:r w:rsidDel="00000000" w:rsidR="00000000" w:rsidRPr="00000000">
        <w:rPr>
          <w:b w:val="1"/>
          <w:bCs w:val="1"/>
          <w:rtl w:val="0"/>
        </w:rPr>
        <w:t xml:space="preserve">)</w:t>
      </w:r>
      <w:r w:rsidDel="00000000" w:rsidR="00000000" w:rsidRPr="00000000">
        <w:rPr>
          <w:rtl w:val="0"/>
        </w:rPr>
        <w:t xml:space="preserve"> uses identical structural parameters but overrides the carrier registry status to </w:t>
      </w:r>
      <w:r w:rsidDel="00000000" w:rsidR="00000000" w:rsidRPr="00000000">
        <w:rPr>
          <w:rFonts w:ascii="Roboto Mono" w:cs="Roboto Mono" w:eastAsia="Roboto Mono" w:hAnsi="Roboto Mono"/>
          <w:color w:val="188038"/>
          <w:rtl w:val="0"/>
        </w:rPr>
        <w:t xml:space="preserve">"SUSPENDED"</w:t>
      </w:r>
      <w:r w:rsidDel="00000000" w:rsidR="00000000" w:rsidRPr="00000000">
        <w:rPr>
          <w:rtl w:val="0"/>
        </w:rPr>
        <w:t xml:space="preserve">, confirming that blocked enterprise accounts trigger the exact same routing restrictions and database lockdown script rules as Scenario 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