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m48ywtoo0mg" w:id="0"/>
      <w:bookmarkEnd w:id="0"/>
      <w:r w:rsidDel="00000000" w:rsidR="00000000" w:rsidRPr="00000000">
        <w:rPr>
          <w:b w:val="1"/>
          <w:bCs w:val="1"/>
          <w:sz w:val="34"/>
          <w:szCs w:val="34"/>
          <w:rtl w:val="0"/>
        </w:rPr>
        <w:t xml:space="preserve">Specialized Specialty Drug Spend Optimization &amp; Clinical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SpecialtySpendOptimizationService (v1)</w:t>
      </w:r>
      <w:r w:rsidDel="00000000" w:rsidR="00000000" w:rsidRPr="00000000">
        <w:rPr>
          <w:rtl w:val="0"/>
        </w:rPr>
        <w:t xml:space="preserve"> automates dynamic manufacturer funding allocation calculations and high-cost clinical safety threshold validation whenever an advanced biologic or cellular therapy prescription claim is ingested at the specialty pharmacy channel point of sale. Upon initialization, the core orchestration engine must immediately isolate three baseline tracking keys from the inbound payload: the </w:t>
      </w:r>
      <w:r w:rsidDel="00000000" w:rsidR="00000000" w:rsidRPr="00000000">
        <w:rPr>
          <w:b w:val="1"/>
          <w:bCs w:val="1"/>
          <w:rtl w:val="0"/>
        </w:rPr>
        <w:t xml:space="preserve">Enterprise Client ID (</w:t>
      </w:r>
      <w:r w:rsidDel="00000000" w:rsidR="00000000" w:rsidRPr="00000000">
        <w:rPr>
          <w:rFonts w:ascii="Roboto Mono" w:cs="Roboto Mono" w:eastAsia="Roboto Mono" w:hAnsi="Roboto Mono"/>
          <w:b w:val="1"/>
          <w:bCs w:val="1"/>
          <w:color w:val="188038"/>
          <w:rtl w:val="0"/>
        </w:rPr>
        <w:t xml:space="preserve">enterpriseClientId</w:t>
      </w:r>
      <w:r w:rsidDel="00000000" w:rsidR="00000000" w:rsidRPr="00000000">
        <w:rPr>
          <w:b w:val="1"/>
          <w:bCs w:val="1"/>
          <w:rtl w:val="0"/>
        </w:rPr>
        <w:t xml:space="preserve">)</w:t>
      </w:r>
      <w:r w:rsidDel="00000000" w:rsidR="00000000" w:rsidRPr="00000000">
        <w:rPr>
          <w:rtl w:val="0"/>
        </w:rPr>
        <w:t xml:space="preserve"> to map organizational employer contract boundaries, the </w:t>
      </w:r>
      <w:r w:rsidDel="00000000" w:rsidR="00000000" w:rsidRPr="00000000">
        <w:rPr>
          <w:b w:val="1"/>
          <w:bCs w:val="1"/>
          <w:rtl w:val="0"/>
        </w:rPr>
        <w:t xml:space="preserve">Gross Spend Allocation Baseline (</w:t>
      </w:r>
      <w:r w:rsidDel="00000000" w:rsidR="00000000" w:rsidRPr="00000000">
        <w:rPr>
          <w:rFonts w:ascii="Roboto Mono" w:cs="Roboto Mono" w:eastAsia="Roboto Mono" w:hAnsi="Roboto Mono"/>
          <w:b w:val="1"/>
          <w:bCs w:val="1"/>
          <w:color w:val="188038"/>
          <w:rtl w:val="0"/>
        </w:rPr>
        <w:t xml:space="preserve">grossSpendAllocationBaseline</w:t>
      </w:r>
      <w:r w:rsidDel="00000000" w:rsidR="00000000" w:rsidRPr="00000000">
        <w:rPr>
          <w:b w:val="1"/>
          <w:bCs w:val="1"/>
          <w:rtl w:val="0"/>
        </w:rPr>
        <w:t xml:space="preserve">)</w:t>
      </w:r>
      <w:r w:rsidDel="00000000" w:rsidR="00000000" w:rsidRPr="00000000">
        <w:rPr>
          <w:rtl w:val="0"/>
        </w:rPr>
        <w:t xml:space="preserve"> to establish the primary baseline financial metric, and the </w:t>
      </w:r>
      <w:r w:rsidDel="00000000" w:rsidR="00000000" w:rsidRPr="00000000">
        <w:rPr>
          <w:b w:val="1"/>
          <w:bCs w:val="1"/>
          <w:rtl w:val="0"/>
        </w:rPr>
        <w:t xml:space="preserve">Therapeutic Stock Keeping Token (</w:t>
      </w:r>
      <w:r w:rsidDel="00000000" w:rsidR="00000000" w:rsidRPr="00000000">
        <w:rPr>
          <w:rFonts w:ascii="Roboto Mono" w:cs="Roboto Mono" w:eastAsia="Roboto Mono" w:hAnsi="Roboto Mono"/>
          <w:b w:val="1"/>
          <w:bCs w:val="1"/>
          <w:color w:val="188038"/>
          <w:rtl w:val="0"/>
        </w:rPr>
        <w:t xml:space="preserve">therapeuticStockKeepingToken</w:t>
      </w:r>
      <w:r w:rsidDel="00000000" w:rsidR="00000000" w:rsidRPr="00000000">
        <w:rPr>
          <w:b w:val="1"/>
          <w:bCs w:val="1"/>
          <w:rtl w:val="0"/>
        </w:rPr>
        <w:t xml:space="preserve">)</w:t>
      </w:r>
      <w:r w:rsidDel="00000000" w:rsidR="00000000" w:rsidRPr="00000000">
        <w:rPr>
          <w:rtl w:val="0"/>
        </w:rPr>
        <w:t xml:space="preserve"> to uniquely identify specialized molecular formulas. If any of these parameter keys are missing or unreadable during initial casting, the process terminates immediately at the gate and throws a payload validation exception, protecting downstream strategic stop-loss pools and patient ledgers from structural financial risk.</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verification is complete, the transaction moves sequentially through a background validation pipeline. It first calls the </w:t>
      </w:r>
      <w:r w:rsidDel="00000000" w:rsidR="00000000" w:rsidRPr="00000000">
        <w:rPr>
          <w:rFonts w:ascii="Roboto Mono" w:cs="Roboto Mono" w:eastAsia="Roboto Mono" w:hAnsi="Roboto Mono"/>
          <w:color w:val="188038"/>
          <w:rtl w:val="0"/>
        </w:rPr>
        <w:t xml:space="preserve">EnterpriseClientRegistryService (v1)</w:t>
      </w:r>
      <w:r w:rsidDel="00000000" w:rsidR="00000000" w:rsidRPr="00000000">
        <w:rPr>
          <w:rtl w:val="0"/>
        </w:rPr>
        <w:t xml:space="preserve"> to pull client-specific maximum cost-containment tolerances and custom benefit structures, forcing the </w:t>
      </w:r>
      <w:r w:rsidDel="00000000" w:rsidR="00000000" w:rsidRPr="00000000">
        <w:rPr>
          <w:rFonts w:ascii="Roboto Mono" w:cs="Roboto Mono" w:eastAsia="Roboto Mono" w:hAnsi="Roboto Mono"/>
          <w:color w:val="188038"/>
          <w:rtl w:val="0"/>
        </w:rPr>
        <w:t xml:space="preserve">enterpriseClientId</w:t>
      </w:r>
      <w:r w:rsidDel="00000000" w:rsidR="00000000" w:rsidRPr="00000000">
        <w:rPr>
          <w:rtl w:val="0"/>
        </w:rPr>
        <w:t xml:space="preserve"> into the target outbound request map if it is omitted. It then queries the </w:t>
      </w:r>
      <w:r w:rsidDel="00000000" w:rsidR="00000000" w:rsidRPr="00000000">
        <w:rPr>
          <w:rFonts w:ascii="Roboto Mono" w:cs="Roboto Mono" w:eastAsia="Roboto Mono" w:hAnsi="Roboto Mono"/>
          <w:color w:val="188038"/>
          <w:rtl w:val="0"/>
        </w:rPr>
        <w:t xml:space="preserve">ClinicalSafetyEfficacyService (v1)</w:t>
      </w:r>
      <w:r w:rsidDel="00000000" w:rsidR="00000000" w:rsidRPr="00000000">
        <w:rPr>
          <w:rtl w:val="0"/>
        </w:rPr>
        <w:t xml:space="preserve"> to retrieve comparative therapeutic monitoring scores and confirm the active clinical classification tier code. Following these microservice validations, the system streams records from the </w:t>
      </w:r>
      <w:r w:rsidDel="00000000" w:rsidR="00000000" w:rsidRPr="00000000">
        <w:rPr>
          <w:rFonts w:ascii="Roboto Mono" w:cs="Roboto Mono" w:eastAsia="Roboto Mono" w:hAnsi="Roboto Mono"/>
          <w:color w:val="188038"/>
          <w:rtl w:val="0"/>
        </w:rPr>
        <w:t xml:space="preserve">SpecialtySpendMatrix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therapeuticStockKeepingToken</w:t>
      </w:r>
      <w:r w:rsidDel="00000000" w:rsidR="00000000" w:rsidRPr="00000000">
        <w:rPr>
          <w:rtl w:val="0"/>
        </w:rPr>
        <w:t xml:space="preserve"> to capture the unique tracking database handle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target molecule's maximum allowable manufacturer accumulator cap (</w:t>
      </w:r>
      <w:r w:rsidDel="00000000" w:rsidR="00000000" w:rsidRPr="00000000">
        <w:rPr>
          <w:rFonts w:ascii="Roboto Mono" w:cs="Roboto Mono" w:eastAsia="Roboto Mono" w:hAnsi="Roboto Mono"/>
          <w:color w:val="188038"/>
          <w:rtl w:val="0"/>
        </w:rPr>
        <w:t xml:space="preserve">max_accumulator_cap_amount</w:t>
      </w:r>
      <w:r w:rsidDel="00000000" w:rsidR="00000000" w:rsidRPr="00000000">
        <w:rPr>
          <w:rtl w:val="0"/>
        </w:rPr>
        <w:t xml:space="preserve">). Finally, the system takes the clinical classification tier code retrieved in the second step to query the </w:t>
      </w:r>
      <w:r w:rsidDel="00000000" w:rsidR="00000000" w:rsidRPr="00000000">
        <w:rPr>
          <w:rFonts w:ascii="Roboto Mono" w:cs="Roboto Mono" w:eastAsia="Roboto Mono" w:hAnsi="Roboto Mono"/>
          <w:color w:val="188038"/>
          <w:rtl w:val="0"/>
        </w:rPr>
        <w:t xml:space="preserve">JurisdictionalTaxSurcharge</w:t>
      </w:r>
      <w:r w:rsidDel="00000000" w:rsidR="00000000" w:rsidRPr="00000000">
        <w:rPr>
          <w:rtl w:val="0"/>
        </w:rPr>
        <w:t xml:space="preserve"> database table and apply the localized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saving calculated totals to the specialty pharmacy spend ledger or issuing a permanent financial clearance stamp, the transaction context passes through a strict cost-mitigation filter. If the enterprise client's structural account status is explicitly marked as </w:t>
      </w:r>
      <w:r w:rsidDel="00000000" w:rsidR="00000000" w:rsidRPr="00000000">
        <w:rPr>
          <w:rFonts w:ascii="Roboto Mono" w:cs="Roboto Mono" w:eastAsia="Roboto Mono" w:hAnsi="Roboto Mono"/>
          <w:b w:val="1"/>
          <w:bCs w:val="1"/>
          <w:color w:val="188038"/>
          <w:rtl w:val="0"/>
        </w:rPr>
        <w:t xml:space="preserve">"DELINQUENT"</w:t>
      </w:r>
      <w:r w:rsidDel="00000000" w:rsidR="00000000" w:rsidRPr="00000000">
        <w:rPr>
          <w:rtl w:val="0"/>
        </w:rPr>
        <w:t xml:space="preserve"> or if the clinical safety engine flags an extreme spend variance threshold (</w:t>
      </w:r>
      <w:r w:rsidDel="00000000" w:rsidR="00000000" w:rsidRPr="00000000">
        <w:rPr>
          <w:rFonts w:ascii="Roboto Mono" w:cs="Roboto Mono" w:eastAsia="Roboto Mono" w:hAnsi="Roboto Mono"/>
          <w:b w:val="1"/>
          <w:bCs w:val="1"/>
          <w:color w:val="188038"/>
          <w:rtl w:val="0"/>
        </w:rPr>
        <w:t xml:space="preserve">extremeSpendVarianceFlag</w:t>
      </w:r>
      <w:r w:rsidDel="00000000" w:rsidR="00000000" w:rsidRPr="00000000">
        <w:rPr>
          <w:b w:val="1"/>
          <w:bCs w:val="1"/>
          <w:rtl w:val="0"/>
        </w:rPr>
        <w:t xml:space="preserve"> is true</w:t>
      </w:r>
      <w:r w:rsidDel="00000000" w:rsidR="00000000" w:rsidRPr="00000000">
        <w:rPr>
          <w:rtl w:val="0"/>
        </w:rPr>
        <w:t xml:space="preserve">), automated optimization calculations are instantly aborted. The transaction context is diverted away from the standard clearing path and sent directly to the </w:t>
      </w:r>
      <w:r w:rsidDel="00000000" w:rsidR="00000000" w:rsidRPr="00000000">
        <w:rPr>
          <w:b w:val="1"/>
          <w:bCs w:val="1"/>
          <w:rtl w:val="0"/>
        </w:rPr>
        <w:t xml:space="preserve">MedicalDirectorReviewBoardService (v1)</w:t>
      </w:r>
      <w:r w:rsidDel="00000000" w:rsidR="00000000" w:rsidRPr="00000000">
        <w:rPr>
          <w:rtl w:val="0"/>
        </w:rPr>
        <w:t xml:space="preserve"> for a manual, physician-led clinical forensic audit under enterprise risk management guidelines. Simultaneously, the engine locks down the specific database row in the </w:t>
      </w:r>
      <w:r w:rsidDel="00000000" w:rsidR="00000000" w:rsidRPr="00000000">
        <w:rPr>
          <w:rFonts w:ascii="Roboto Mono" w:cs="Roboto Mono" w:eastAsia="Roboto Mono" w:hAnsi="Roboto Mono"/>
          <w:color w:val="188038"/>
          <w:rtl w:val="0"/>
        </w:rPr>
        <w:t xml:space="preserve">SpecialtySpendMatrix</w:t>
      </w:r>
      <w:r w:rsidDel="00000000" w:rsidR="00000000" w:rsidRPr="00000000">
        <w:rPr>
          <w:rtl w:val="0"/>
        </w:rPr>
        <w:t xml:space="preserve">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setting its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"SPECIALTY_OPTIMIZATION_HOLD"</w:t>
      </w:r>
      <w:r w:rsidDel="00000000" w:rsidR="00000000" w:rsidRPr="00000000">
        <w:rPr>
          <w:rtl w:val="0"/>
        </w:rPr>
        <w:t xml:space="preserve">, logging a processing note detailing the explicit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developers implement this orchestration flow to exact medical, financial, and corporate compliance specifications, the automated testing framework must validate three distinct system behaviors.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transmits an empty initialization payload to verify that the core service breaks instantly instead of allowing null parameters to process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inputs fully valid identification keys but stubs the clinical safety verification response to return an active spend variance flag, checking that the system halts financial math, routes directly to the medical director board, and stamps record </w:t>
      </w:r>
      <w:r w:rsidDel="00000000" w:rsidR="00000000" w:rsidRPr="00000000">
        <w:rPr>
          <w:rFonts w:ascii="Roboto Mono" w:cs="Roboto Mono" w:eastAsia="Roboto Mono" w:hAnsi="Roboto Mono"/>
          <w:color w:val="188038"/>
          <w:rtl w:val="0"/>
        </w:rPr>
        <w:t xml:space="preserve">"mock-uuid-999-lll"</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"SPECIALTY_OPTIMIZATION_HOLD"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TC_003_CLIENT_DELINQUENT_ROUTE</w:t>
      </w:r>
      <w:r w:rsidDel="00000000" w:rsidR="00000000" w:rsidRPr="00000000">
        <w:rPr>
          <w:b w:val="1"/>
          <w:bCs w:val="1"/>
          <w:rtl w:val="0"/>
        </w:rPr>
        <w:t xml:space="preserve">)</w:t>
      </w:r>
      <w:r w:rsidDel="00000000" w:rsidR="00000000" w:rsidRPr="00000000">
        <w:rPr>
          <w:rtl w:val="0"/>
        </w:rPr>
        <w:t xml:space="preserve"> uses identical structural parameters but overrides the enterprise client registry status to </w:t>
      </w:r>
      <w:r w:rsidDel="00000000" w:rsidR="00000000" w:rsidRPr="00000000">
        <w:rPr>
          <w:rFonts w:ascii="Roboto Mono" w:cs="Roboto Mono" w:eastAsia="Roboto Mono" w:hAnsi="Roboto Mono"/>
          <w:color w:val="188038"/>
          <w:rtl w:val="0"/>
        </w:rPr>
        <w:t xml:space="preserve">"DELINQUENT"</w:t>
      </w:r>
      <w:r w:rsidDel="00000000" w:rsidR="00000000" w:rsidRPr="00000000">
        <w:rPr>
          <w:rtl w:val="0"/>
        </w:rPr>
        <w:t xml:space="preserve">, confirming that suspended or unbacked corporate accounts trigger the exact same routing restrictions and database lockdown script rules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