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783gu372ylb" w:id="0"/>
      <w:bookmarkEnd w:id="0"/>
      <w:r w:rsidDel="00000000" w:rsidR="00000000" w:rsidRPr="00000000">
        <w:rPr>
          <w:b w:val="1"/>
          <w:bCs w:val="1"/>
          <w:sz w:val="34"/>
          <w:szCs w:val="34"/>
          <w:rtl w:val="0"/>
        </w:rPr>
        <w:t xml:space="preserve">Tiered Formulary Coverage Allocation &amp; Clinical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FormularyCoverageService (v1)</w:t>
      </w:r>
      <w:r w:rsidDel="00000000" w:rsidR="00000000" w:rsidRPr="00000000">
        <w:rPr>
          <w:rtl w:val="0"/>
        </w:rPr>
        <w:t xml:space="preserve"> automates specialized drug tier rebate adjustments and benefits validation whenever an individual prescription claim is ingested at the pharmacy benefit manager point of sale. Upon initialization, the core orchestration engine must immediately isolate three baseline tracking keys from the inbound payload: the </w:t>
      </w:r>
      <w:r w:rsidDel="00000000" w:rsidR="00000000" w:rsidRPr="00000000">
        <w:rPr>
          <w:b w:val="1"/>
          <w:bCs w:val="1"/>
          <w:rtl w:val="0"/>
        </w:rPr>
        <w:t xml:space="preserve">Carrier Account ID (</w:t>
      </w:r>
      <w:r w:rsidDel="00000000" w:rsidR="00000000" w:rsidRPr="00000000">
        <w:rPr>
          <w:rFonts w:ascii="Roboto Mono" w:cs="Roboto Mono" w:eastAsia="Roboto Mono" w:hAnsi="Roboto Mono"/>
          <w:b w:val="1"/>
          <w:bCs w:val="1"/>
          <w:color w:val="188038"/>
          <w:rtl w:val="0"/>
        </w:rPr>
        <w:t xml:space="preserve">carrierAccountId</w:t>
      </w:r>
      <w:r w:rsidDel="00000000" w:rsidR="00000000" w:rsidRPr="00000000">
        <w:rPr>
          <w:b w:val="1"/>
          <w:bCs w:val="1"/>
          <w:rtl w:val="0"/>
        </w:rPr>
        <w:t xml:space="preserve">)</w:t>
      </w:r>
      <w:r w:rsidDel="00000000" w:rsidR="00000000" w:rsidRPr="00000000">
        <w:rPr>
          <w:rtl w:val="0"/>
        </w:rPr>
        <w:t xml:space="preserve"> to identify corporate contract structures, the </w:t>
      </w:r>
      <w:r w:rsidDel="00000000" w:rsidR="00000000" w:rsidRPr="00000000">
        <w:rPr>
          <w:b w:val="1"/>
          <w:bCs w:val="1"/>
          <w:rtl w:val="0"/>
        </w:rPr>
        <w:t xml:space="preserve">Ingredient Cost Baseline (</w:t>
      </w:r>
      <w:r w:rsidDel="00000000" w:rsidR="00000000" w:rsidRPr="00000000">
        <w:rPr>
          <w:rFonts w:ascii="Roboto Mono" w:cs="Roboto Mono" w:eastAsia="Roboto Mono" w:hAnsi="Roboto Mono"/>
          <w:b w:val="1"/>
          <w:bCs w:val="1"/>
          <w:color w:val="188038"/>
          <w:rtl w:val="0"/>
        </w:rPr>
        <w:t xml:space="preserve">ingredientCostBaseline</w:t>
      </w:r>
      <w:r w:rsidDel="00000000" w:rsidR="00000000" w:rsidRPr="00000000">
        <w:rPr>
          <w:b w:val="1"/>
          <w:bCs w:val="1"/>
          <w:rtl w:val="0"/>
        </w:rPr>
        <w:t xml:space="preserve">)</w:t>
      </w:r>
      <w:r w:rsidDel="00000000" w:rsidR="00000000" w:rsidRPr="00000000">
        <w:rPr>
          <w:rtl w:val="0"/>
        </w:rPr>
        <w:t xml:space="preserve"> to establish the gross baseline financial metric, and the </w:t>
      </w:r>
      <w:r w:rsidDel="00000000" w:rsidR="00000000" w:rsidRPr="00000000">
        <w:rPr>
          <w:b w:val="1"/>
          <w:bCs w:val="1"/>
          <w:rtl w:val="0"/>
        </w:rPr>
        <w:t xml:space="preserve">Product Stock Keeping Token (</w:t>
      </w:r>
      <w:r w:rsidDel="00000000" w:rsidR="00000000" w:rsidRPr="00000000">
        <w:rPr>
          <w:rFonts w:ascii="Roboto Mono" w:cs="Roboto Mono" w:eastAsia="Roboto Mono" w:hAnsi="Roboto Mono"/>
          <w:b w:val="1"/>
          <w:bCs w:val="1"/>
          <w:color w:val="188038"/>
          <w:rtl w:val="0"/>
        </w:rPr>
        <w:t xml:space="preserve">productStockKeepingToken</w:t>
      </w:r>
      <w:r w:rsidDel="00000000" w:rsidR="00000000" w:rsidRPr="00000000">
        <w:rPr>
          <w:b w:val="1"/>
          <w:bCs w:val="1"/>
          <w:rtl w:val="0"/>
        </w:rPr>
        <w:t xml:space="preserve">)</w:t>
      </w:r>
      <w:r w:rsidDel="00000000" w:rsidR="00000000" w:rsidRPr="00000000">
        <w:rPr>
          <w:rtl w:val="0"/>
        </w:rPr>
        <w:t xml:space="preserve"> to uniquely identify chemical compounds. If any of these parameter keys are missing or unreadable during initial casting, the process terminates immediately at the gate and throws a payload validation exception, protecting downstream client accounts from corrupted billing records.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CarrierContractRegistryService (v1)</w:t>
      </w:r>
      <w:r w:rsidDel="00000000" w:rsidR="00000000" w:rsidRPr="00000000">
        <w:rPr>
          <w:rtl w:val="0"/>
        </w:rPr>
        <w:t xml:space="preserve"> to pull client-specific contract preferences and plan structures, forcing the </w:t>
      </w:r>
      <w:r w:rsidDel="00000000" w:rsidR="00000000" w:rsidRPr="00000000">
        <w:rPr>
          <w:rFonts w:ascii="Roboto Mono" w:cs="Roboto Mono" w:eastAsia="Roboto Mono" w:hAnsi="Roboto Mono"/>
          <w:color w:val="188038"/>
          <w:rtl w:val="0"/>
        </w:rPr>
        <w:t xml:space="preserve">carrierAccountId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TherapeuticEfficacyService (v1)</w:t>
      </w:r>
      <w:r w:rsidDel="00000000" w:rsidR="00000000" w:rsidRPr="00000000">
        <w:rPr>
          <w:rtl w:val="0"/>
        </w:rPr>
        <w:t xml:space="preserve"> to retrieve comparative drug outcome indices and confirm the active clinical classification tier code. Following these microservice validations, the system streams records from the </w:t>
      </w:r>
      <w:r w:rsidDel="00000000" w:rsidR="00000000" w:rsidRPr="00000000">
        <w:rPr>
          <w:rFonts w:ascii="Roboto Mono" w:cs="Roboto Mono" w:eastAsia="Roboto Mono" w:hAnsi="Roboto Mono"/>
          <w:color w:val="188038"/>
          <w:rtl w:val="0"/>
        </w:rPr>
        <w:t xml:space="preserve">FormularyTierMatrix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productStockKeepingToken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compound's maximum allowable tier discount rate (</w:t>
      </w:r>
      <w:r w:rsidDel="00000000" w:rsidR="00000000" w:rsidRPr="00000000">
        <w:rPr>
          <w:rFonts w:ascii="Roboto Mono" w:cs="Roboto Mono" w:eastAsia="Roboto Mono" w:hAnsi="Roboto Mono"/>
          <w:color w:val="188038"/>
          <w:rtl w:val="0"/>
        </w:rPr>
        <w:t xml:space="preserve">max_tier_discount_rate</w:t>
      </w:r>
      <w:r w:rsidDel="00000000" w:rsidR="00000000" w:rsidRPr="00000000">
        <w:rPr>
          <w:rtl w:val="0"/>
        </w:rPr>
        <w:t xml:space="preserve">). Finally, the system takes the clinical classification tier code retrieved in the second step to query the </w:t>
      </w:r>
      <w:r w:rsidDel="00000000" w:rsidR="00000000" w:rsidRPr="00000000">
        <w:rPr>
          <w:rFonts w:ascii="Roboto Mono" w:cs="Roboto Mono" w:eastAsia="Roboto Mono" w:hAnsi="Roboto Mono"/>
          <w:color w:val="188038"/>
          <w:rtl w:val="0"/>
        </w:rPr>
        <w:t xml:space="preserve">StateRegulatorySurcharge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pharmacy benefit ledger or issuing a permanent financial approval stamp, the transaction context passes through a strict cost-mitigation filter. If the carrier’s contract status is explicitly marked as </w:t>
      </w:r>
      <w:r w:rsidDel="00000000" w:rsidR="00000000" w:rsidRPr="00000000">
        <w:rPr>
          <w:rFonts w:ascii="Roboto Mono" w:cs="Roboto Mono" w:eastAsia="Roboto Mono" w:hAnsi="Roboto Mono"/>
          <w:b w:val="1"/>
          <w:bCs w:val="1"/>
          <w:color w:val="188038"/>
          <w:rtl w:val="0"/>
        </w:rPr>
        <w:t xml:space="preserve">"SUSPENDED"</w:t>
      </w:r>
      <w:r w:rsidDel="00000000" w:rsidR="00000000" w:rsidRPr="00000000">
        <w:rPr>
          <w:rtl w:val="0"/>
        </w:rPr>
        <w:t xml:space="preserve"> or if the therapeutic analysis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adjudication is instantly aborted. The transaction context is diverted away from the standard clearing path and sent directly to the </w:t>
      </w:r>
      <w:r w:rsidDel="00000000" w:rsidR="00000000" w:rsidRPr="00000000">
        <w:rPr>
          <w:b w:val="1"/>
          <w:bCs w:val="1"/>
          <w:rtl w:val="0"/>
        </w:rPr>
        <w:t xml:space="preserve">ClinicalPriorAuthorizationService (v1)</w:t>
      </w:r>
      <w:r w:rsidDel="00000000" w:rsidR="00000000" w:rsidRPr="00000000">
        <w:rPr>
          <w:rtl w:val="0"/>
        </w:rPr>
        <w:t xml:space="preserve"> for a manual, physician-led clinical audit. Simultaneously, the engine lock down the specific database row in the </w:t>
      </w:r>
      <w:r w:rsidDel="00000000" w:rsidR="00000000" w:rsidRPr="00000000">
        <w:rPr>
          <w:rFonts w:ascii="Roboto Mono" w:cs="Roboto Mono" w:eastAsia="Roboto Mono" w:hAnsi="Roboto Mono"/>
          <w:color w:val="188038"/>
          <w:rtl w:val="0"/>
        </w:rPr>
        <w:t xml:space="preserve">FormularyTierMatrix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"FORMULARY_HOLD"</w:t>
      </w:r>
      <w:r w:rsidDel="00000000" w:rsidR="00000000" w:rsidRPr="00000000">
        <w:rPr>
          <w:rtl w:val="0"/>
        </w:rPr>
        <w:t xml:space="preserve">, logging a processing note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financial and medical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therapeutic verification response to return an active spend variance flag, checking that the system halts financial math, routes to prior authorization, and stamps record </w:t>
      </w:r>
      <w:r w:rsidDel="00000000" w:rsidR="00000000" w:rsidRPr="00000000">
        <w:rPr>
          <w:rFonts w:ascii="Roboto Mono" w:cs="Roboto Mono" w:eastAsia="Roboto Mono" w:hAnsi="Roboto Mono"/>
          <w:color w:val="188038"/>
          <w:rtl w:val="0"/>
        </w:rPr>
        <w:t xml:space="preserve">"mock-uuid-222-hhh"</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"FORMULARY_HOLD"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TC_003_SUSPENDED_CONTRACT_ROUTE</w:t>
      </w:r>
      <w:r w:rsidDel="00000000" w:rsidR="00000000" w:rsidRPr="00000000">
        <w:rPr>
          <w:b w:val="1"/>
          <w:bCs w:val="1"/>
          <w:rtl w:val="0"/>
        </w:rPr>
        <w:t xml:space="preserve">)</w:t>
      </w:r>
      <w:r w:rsidDel="00000000" w:rsidR="00000000" w:rsidRPr="00000000">
        <w:rPr>
          <w:rtl w:val="0"/>
        </w:rPr>
        <w:t xml:space="preserve"> uses identical structural parameters but overrides the carrier contract status to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confirming that blocked corporate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