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04xsyb53494" w:id="0"/>
      <w:bookmarkEnd w:id="0"/>
      <w:r w:rsidDel="00000000" w:rsidR="00000000" w:rsidRPr="00000000">
        <w:rPr>
          <w:b w:val="1"/>
          <w:bCs w:val="1"/>
          <w:sz w:val="34"/>
          <w:szCs w:val="34"/>
          <w:rtl w:val="0"/>
        </w:rPr>
        <w:t xml:space="preserve">Value-Based Alternative Payout Allocation &amp; Risk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ValueBasedPayoutService (v1)</w:t>
      </w:r>
      <w:r w:rsidDel="00000000" w:rsidR="00000000" w:rsidRPr="00000000">
        <w:rPr>
          <w:rtl w:val="0"/>
        </w:rPr>
        <w:t xml:space="preserve"> automates dynamic shared-savings adjustment calculations and performance-tier risk validation whenever a consolidated accountable care provider invoice is submitted for fiscal closure. Upon initialization, the core orchestration engine must immediately isolate three baseline tracking keys from the inbound payload: the </w:t>
      </w:r>
      <w:r w:rsidDel="00000000" w:rsidR="00000000" w:rsidRPr="00000000">
        <w:rPr>
          <w:b w:val="1"/>
          <w:bCs w:val="1"/>
          <w:rtl w:val="0"/>
        </w:rPr>
        <w:t xml:space="preserve">Accountable Care Organization ID (</w:t>
      </w:r>
      <w:r w:rsidDel="00000000" w:rsidR="00000000" w:rsidRPr="00000000">
        <w:rPr>
          <w:rFonts w:ascii="Roboto Mono" w:cs="Roboto Mono" w:eastAsia="Roboto Mono" w:hAnsi="Roboto Mono"/>
          <w:b w:val="1"/>
          <w:bCs w:val="1"/>
          <w:color w:val="188038"/>
          <w:rtl w:val="0"/>
        </w:rPr>
        <w:t xml:space="preserve">acoOrganizationId</w:t>
      </w:r>
      <w:r w:rsidDel="00000000" w:rsidR="00000000" w:rsidRPr="00000000">
        <w:rPr>
          <w:b w:val="1"/>
          <w:bCs w:val="1"/>
          <w:rtl w:val="0"/>
        </w:rPr>
        <w:t xml:space="preserve">)</w:t>
      </w:r>
      <w:r w:rsidDel="00000000" w:rsidR="00000000" w:rsidRPr="00000000">
        <w:rPr>
          <w:rtl w:val="0"/>
        </w:rPr>
        <w:t xml:space="preserve"> to identify corporate contract structures, the </w:t>
      </w:r>
      <w:r w:rsidDel="00000000" w:rsidR="00000000" w:rsidRPr="00000000">
        <w:rPr>
          <w:b w:val="1"/>
          <w:bCs w:val="1"/>
          <w:rtl w:val="0"/>
        </w:rPr>
        <w:t xml:space="preserve">Gross Shared Savings Baseline (</w:t>
      </w:r>
      <w:r w:rsidDel="00000000" w:rsidR="00000000" w:rsidRPr="00000000">
        <w:rPr>
          <w:rFonts w:ascii="Roboto Mono" w:cs="Roboto Mono" w:eastAsia="Roboto Mono" w:hAnsi="Roboto Mono"/>
          <w:b w:val="1"/>
          <w:bCs w:val="1"/>
          <w:color w:val="188038"/>
          <w:rtl w:val="0"/>
        </w:rPr>
        <w:t xml:space="preserve">grossSharedSavingsBaseline</w:t>
      </w:r>
      <w:r w:rsidDel="00000000" w:rsidR="00000000" w:rsidRPr="00000000">
        <w:rPr>
          <w:b w:val="1"/>
          <w:bCs w:val="1"/>
          <w:rtl w:val="0"/>
        </w:rPr>
        <w:t xml:space="preserve">)</w:t>
      </w:r>
      <w:r w:rsidDel="00000000" w:rsidR="00000000" w:rsidRPr="00000000">
        <w:rPr>
          <w:rtl w:val="0"/>
        </w:rPr>
        <w:t xml:space="preserve"> to establish the gross baseline financial metric, and the </w:t>
      </w:r>
      <w:r w:rsidDel="00000000" w:rsidR="00000000" w:rsidRPr="00000000">
        <w:rPr>
          <w:b w:val="1"/>
          <w:bCs w:val="1"/>
          <w:rtl w:val="0"/>
        </w:rPr>
        <w:t xml:space="preserve">Performance Measurement Token (</w:t>
      </w:r>
      <w:r w:rsidDel="00000000" w:rsidR="00000000" w:rsidRPr="00000000">
        <w:rPr>
          <w:rFonts w:ascii="Roboto Mono" w:cs="Roboto Mono" w:eastAsia="Roboto Mono" w:hAnsi="Roboto Mono"/>
          <w:b w:val="1"/>
          <w:bCs w:val="1"/>
          <w:color w:val="188038"/>
          <w:rtl w:val="0"/>
        </w:rPr>
        <w:t xml:space="preserve">performanceMeasurementToken</w:t>
      </w:r>
      <w:r w:rsidDel="00000000" w:rsidR="00000000" w:rsidRPr="00000000">
        <w:rPr>
          <w:b w:val="1"/>
          <w:bCs w:val="1"/>
          <w:rtl w:val="0"/>
        </w:rPr>
        <w:t xml:space="preserve">)</w:t>
      </w:r>
      <w:r w:rsidDel="00000000" w:rsidR="00000000" w:rsidRPr="00000000">
        <w:rPr>
          <w:rtl w:val="0"/>
        </w:rPr>
        <w:t xml:space="preserve"> to uniquely identify quality metrics. If any of these parameter keys are missing or unreadable during initial casting, the process terminates immediately at the gate and throws a payload validation exception, protecting downstream ledger accounts from corrupted billing records.</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verification is complete, the transaction moves sequentially through a background validation pipeline. It first calls the </w:t>
      </w:r>
      <w:r w:rsidDel="00000000" w:rsidR="00000000" w:rsidRPr="00000000">
        <w:rPr>
          <w:rFonts w:ascii="Roboto Mono" w:cs="Roboto Mono" w:eastAsia="Roboto Mono" w:hAnsi="Roboto Mono"/>
          <w:color w:val="188038"/>
          <w:rtl w:val="0"/>
        </w:rPr>
        <w:t xml:space="preserve">AcoContractRegistryService (v1)</w:t>
      </w:r>
      <w:r w:rsidDel="00000000" w:rsidR="00000000" w:rsidRPr="00000000">
        <w:rPr>
          <w:rtl w:val="0"/>
        </w:rPr>
        <w:t xml:space="preserve"> to pull client-specific contract preferences and plan structures, forcing the </w:t>
      </w:r>
      <w:r w:rsidDel="00000000" w:rsidR="00000000" w:rsidRPr="00000000">
        <w:rPr>
          <w:rFonts w:ascii="Roboto Mono" w:cs="Roboto Mono" w:eastAsia="Roboto Mono" w:hAnsi="Roboto Mono"/>
          <w:color w:val="188038"/>
          <w:rtl w:val="0"/>
        </w:rPr>
        <w:t xml:space="preserve">acoOrganizationId</w:t>
      </w:r>
      <w:r w:rsidDel="00000000" w:rsidR="00000000" w:rsidRPr="00000000">
        <w:rPr>
          <w:rtl w:val="0"/>
        </w:rPr>
        <w:t xml:space="preserve"> into the target outbound request map if it is omitted. It then queries the </w:t>
      </w:r>
      <w:r w:rsidDel="00000000" w:rsidR="00000000" w:rsidRPr="00000000">
        <w:rPr>
          <w:rFonts w:ascii="Roboto Mono" w:cs="Roboto Mono" w:eastAsia="Roboto Mono" w:hAnsi="Roboto Mono"/>
          <w:color w:val="188038"/>
          <w:rtl w:val="0"/>
        </w:rPr>
        <w:t xml:space="preserve">QualityScoreEfficacyService (v1)</w:t>
      </w:r>
      <w:r w:rsidDel="00000000" w:rsidR="00000000" w:rsidRPr="00000000">
        <w:rPr>
          <w:rtl w:val="0"/>
        </w:rPr>
        <w:t xml:space="preserve"> to retrieve comparative healthcare outcome indices and confirm the active clinical performance classification tier code. Following these microservice validations, the system streams records from the </w:t>
      </w:r>
      <w:r w:rsidDel="00000000" w:rsidR="00000000" w:rsidRPr="00000000">
        <w:rPr>
          <w:rFonts w:ascii="Roboto Mono" w:cs="Roboto Mono" w:eastAsia="Roboto Mono" w:hAnsi="Roboto Mono"/>
          <w:color w:val="188038"/>
          <w:rtl w:val="0"/>
        </w:rPr>
        <w:t xml:space="preserve">AcoPerformanceMatrix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performanceMeasurementToken</w:t>
      </w:r>
      <w:r w:rsidDel="00000000" w:rsidR="00000000" w:rsidRPr="00000000">
        <w:rPr>
          <w:rtl w:val="0"/>
        </w:rPr>
        <w:t xml:space="preserve"> to capture the unique tracking database handle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target provider's maximum allowable shared savings distribution rate (</w:t>
      </w:r>
      <w:r w:rsidDel="00000000" w:rsidR="00000000" w:rsidRPr="00000000">
        <w:rPr>
          <w:rFonts w:ascii="Roboto Mono" w:cs="Roboto Mono" w:eastAsia="Roboto Mono" w:hAnsi="Roboto Mono"/>
          <w:color w:val="188038"/>
          <w:rtl w:val="0"/>
        </w:rPr>
        <w:t xml:space="preserve">max_shared_savings_rate</w:t>
      </w:r>
      <w:r w:rsidDel="00000000" w:rsidR="00000000" w:rsidRPr="00000000">
        <w:rPr>
          <w:rtl w:val="0"/>
        </w:rPr>
        <w:t xml:space="preserve">). Finally, the system takes the clinical performance classification tier code retrieved in the second step to query the </w:t>
      </w:r>
      <w:r w:rsidDel="00000000" w:rsidR="00000000" w:rsidRPr="00000000">
        <w:rPr>
          <w:rFonts w:ascii="Roboto Mono" w:cs="Roboto Mono" w:eastAsia="Roboto Mono" w:hAnsi="Roboto Mono"/>
          <w:color w:val="188038"/>
          <w:rtl w:val="0"/>
        </w:rPr>
        <w:t xml:space="preserve">StateRegulatoryTaxSurcharge</w:t>
      </w:r>
      <w:r w:rsidDel="00000000" w:rsidR="00000000" w:rsidRPr="00000000">
        <w:rPr>
          <w:rtl w:val="0"/>
        </w:rPr>
        <w:t xml:space="preserve"> database table and apply the localized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saving calculated totals to the value-based care ledger or issuing a permanent financial approval stamp, the transaction context passes through a strict cost-mitigation filter. If the provider organization's contract status is explicitly marked as </w:t>
      </w:r>
      <w:r w:rsidDel="00000000" w:rsidR="00000000" w:rsidRPr="00000000">
        <w:rPr>
          <w:rFonts w:ascii="Roboto Mono" w:cs="Roboto Mono" w:eastAsia="Roboto Mono" w:hAnsi="Roboto Mono"/>
          <w:b w:val="1"/>
          <w:bCs w:val="1"/>
          <w:color w:val="188038"/>
          <w:rtl w:val="0"/>
        </w:rPr>
        <w:t xml:space="preserve">"DEFAULT"</w:t>
      </w:r>
      <w:r w:rsidDel="00000000" w:rsidR="00000000" w:rsidRPr="00000000">
        <w:rPr>
          <w:rtl w:val="0"/>
        </w:rPr>
        <w:t xml:space="preserve"> or if the quality score engine flags an extreme spend variance threshold (</w:t>
      </w:r>
      <w:r w:rsidDel="00000000" w:rsidR="00000000" w:rsidRPr="00000000">
        <w:rPr>
          <w:rFonts w:ascii="Roboto Mono" w:cs="Roboto Mono" w:eastAsia="Roboto Mono" w:hAnsi="Roboto Mono"/>
          <w:b w:val="1"/>
          <w:bCs w:val="1"/>
          <w:color w:val="188038"/>
          <w:rtl w:val="0"/>
        </w:rPr>
        <w:t xml:space="preserve">extremeSpendVarianceFlag</w:t>
      </w:r>
      <w:r w:rsidDel="00000000" w:rsidR="00000000" w:rsidRPr="00000000">
        <w:rPr>
          <w:b w:val="1"/>
          <w:bCs w:val="1"/>
          <w:rtl w:val="0"/>
        </w:rPr>
        <w:t xml:space="preserve"> is true</w:t>
      </w:r>
      <w:r w:rsidDel="00000000" w:rsidR="00000000" w:rsidRPr="00000000">
        <w:rPr>
          <w:rtl w:val="0"/>
        </w:rPr>
        <w:t xml:space="preserve">), automated adjudication is instantly aborted. The transaction context is diverted away from the standard clearing path and sent directly to the </w:t>
      </w:r>
      <w:r w:rsidDel="00000000" w:rsidR="00000000" w:rsidRPr="00000000">
        <w:rPr>
          <w:b w:val="1"/>
          <w:bCs w:val="1"/>
          <w:rtl w:val="0"/>
        </w:rPr>
        <w:t xml:space="preserve">ActuarialComplianceService (v1)</w:t>
      </w:r>
      <w:r w:rsidDel="00000000" w:rsidR="00000000" w:rsidRPr="00000000">
        <w:rPr>
          <w:rtl w:val="0"/>
        </w:rPr>
        <w:t xml:space="preserve"> for a manual, director-led financial audit. Simultaneously, the engine locks down the specific database row in the </w:t>
      </w:r>
      <w:r w:rsidDel="00000000" w:rsidR="00000000" w:rsidRPr="00000000">
        <w:rPr>
          <w:rFonts w:ascii="Roboto Mono" w:cs="Roboto Mono" w:eastAsia="Roboto Mono" w:hAnsi="Roboto Mono"/>
          <w:color w:val="188038"/>
          <w:rtl w:val="0"/>
        </w:rPr>
        <w:t xml:space="preserve">AcoPerformanceMatrix</w:t>
      </w:r>
      <w:r w:rsidDel="00000000" w:rsidR="00000000" w:rsidRPr="00000000">
        <w:rPr>
          <w:rtl w:val="0"/>
        </w:rPr>
        <w:t xml:space="preserve">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setting its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"PERFORMANCE_HOLD"</w:t>
      </w:r>
      <w:r w:rsidDel="00000000" w:rsidR="00000000" w:rsidRPr="00000000">
        <w:rPr>
          <w:rtl w:val="0"/>
        </w:rPr>
        <w:t xml:space="preserve">, logging a processing note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developers implement this orchestration flow to exact financial and regulatory compliance specifications, the automated testing framework must validate three distinct system behaviors.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transmits an empty initialization payload to verify that the core service breaks instantly instead of allowing null parameters to process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inputs fully valid identification keys but stubs the quality verification response to return an active spend variance flag, checking that the system halts financial math, routes to actuarial compliance, and stamps record </w:t>
      </w:r>
      <w:r w:rsidDel="00000000" w:rsidR="00000000" w:rsidRPr="00000000">
        <w:rPr>
          <w:rFonts w:ascii="Roboto Mono" w:cs="Roboto Mono" w:eastAsia="Roboto Mono" w:hAnsi="Roboto Mono"/>
          <w:color w:val="188038"/>
          <w:rtl w:val="0"/>
        </w:rPr>
        <w:t xml:space="preserve">"mock-uuid-111-iii"</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"PERFORMANCE_HOLD"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TC_003_CONTRACT_DEFAULT_ROUTE</w:t>
      </w:r>
      <w:r w:rsidDel="00000000" w:rsidR="00000000" w:rsidRPr="00000000">
        <w:rPr>
          <w:b w:val="1"/>
          <w:bCs w:val="1"/>
          <w:rtl w:val="0"/>
        </w:rPr>
        <w:t xml:space="preserve">)</w:t>
      </w:r>
      <w:r w:rsidDel="00000000" w:rsidR="00000000" w:rsidRPr="00000000">
        <w:rPr>
          <w:rtl w:val="0"/>
        </w:rPr>
        <w:t xml:space="preserve"> uses identical structural parameters but overrides the provider contract status to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confirming that blocked corporate accounts trigger the exact same routing restrictions and database lockdown script rules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