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qq60lum2na2" w:id="0"/>
      <w:bookmarkEnd w:id="0"/>
      <w:r w:rsidDel="00000000" w:rsidR="00000000" w:rsidRPr="00000000">
        <w:rPr>
          <w:b w:val="1"/>
          <w:bCs w:val="1"/>
          <w:sz w:val="34"/>
          <w:szCs w:val="34"/>
          <w:rtl w:val="0"/>
        </w:rPr>
        <w:t xml:space="preserve">Value-Based Performance Payout Allocation &amp; Risk Tier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ValueBasedPerformanceService (v1)</w:t>
      </w:r>
      <w:r w:rsidDel="00000000" w:rsidR="00000000" w:rsidRPr="00000000">
        <w:rPr>
          <w:rtl w:val="0"/>
        </w:rPr>
        <w:t xml:space="preserve"> automates dynamic shared-savings distribution calculations and medical quality milestone validation whenever a consolidated clinical performance invoice is submitted for fiscal clearance. Upon initialization, the core orchestration engine must immediately pull three critical tracking keys from the ingestion payload: the </w:t>
      </w:r>
      <w:r w:rsidDel="00000000" w:rsidR="00000000" w:rsidRPr="00000000">
        <w:rPr>
          <w:b w:val="1"/>
          <w:bCs w:val="1"/>
          <w:rtl w:val="0"/>
        </w:rPr>
        <w:t xml:space="preserve">Provider Organization ID (</w:t>
      </w:r>
      <w:r w:rsidDel="00000000" w:rsidR="00000000" w:rsidRPr="00000000">
        <w:rPr>
          <w:rFonts w:ascii="Roboto Mono" w:cs="Roboto Mono" w:eastAsia="Roboto Mono" w:hAnsi="Roboto Mono"/>
          <w:b w:val="1"/>
          <w:bCs w:val="1"/>
          <w:color w:val="188038"/>
          <w:rtl w:val="0"/>
        </w:rPr>
        <w:t xml:space="preserve">providerOrganizationId</w:t>
      </w:r>
      <w:r w:rsidDel="00000000" w:rsidR="00000000" w:rsidRPr="00000000">
        <w:rPr>
          <w:b w:val="1"/>
          <w:bCs w:val="1"/>
          <w:rtl w:val="0"/>
        </w:rPr>
        <w:t xml:space="preserve">)</w:t>
      </w:r>
      <w:r w:rsidDel="00000000" w:rsidR="00000000" w:rsidRPr="00000000">
        <w:rPr>
          <w:rtl w:val="0"/>
        </w:rPr>
        <w:t xml:space="preserve"> to map regional health system structures, the </w:t>
      </w:r>
      <w:r w:rsidDel="00000000" w:rsidR="00000000" w:rsidRPr="00000000">
        <w:rPr>
          <w:b w:val="1"/>
          <w:bCs w:val="1"/>
          <w:rtl w:val="0"/>
        </w:rPr>
        <w:t xml:space="preserve">Gross Performance Allocation Baseline (</w:t>
      </w:r>
      <w:r w:rsidDel="00000000" w:rsidR="00000000" w:rsidRPr="00000000">
        <w:rPr>
          <w:rFonts w:ascii="Roboto Mono" w:cs="Roboto Mono" w:eastAsia="Roboto Mono" w:hAnsi="Roboto Mono"/>
          <w:b w:val="1"/>
          <w:bCs w:val="1"/>
          <w:color w:val="188038"/>
          <w:rtl w:val="0"/>
        </w:rPr>
        <w:t xml:space="preserve">grossPerformanceAllocationBaseline</w:t>
      </w:r>
      <w:r w:rsidDel="00000000" w:rsidR="00000000" w:rsidRPr="00000000">
        <w:rPr>
          <w:b w:val="1"/>
          <w:bCs w:val="1"/>
          <w:rtl w:val="0"/>
        </w:rPr>
        <w:t xml:space="preserve">)</w:t>
      </w:r>
      <w:r w:rsidDel="00000000" w:rsidR="00000000" w:rsidRPr="00000000">
        <w:rPr>
          <w:rtl w:val="0"/>
        </w:rPr>
        <w:t xml:space="preserve"> to establish the primary billing metric, and the </w:t>
      </w:r>
      <w:r w:rsidDel="00000000" w:rsidR="00000000" w:rsidRPr="00000000">
        <w:rPr>
          <w:b w:val="1"/>
          <w:bCs w:val="1"/>
          <w:rtl w:val="0"/>
        </w:rPr>
        <w:t xml:space="preserve">Quality Milestone Token (</w:t>
      </w:r>
      <w:r w:rsidDel="00000000" w:rsidR="00000000" w:rsidRPr="00000000">
        <w:rPr>
          <w:rFonts w:ascii="Roboto Mono" w:cs="Roboto Mono" w:eastAsia="Roboto Mono" w:hAnsi="Roboto Mono"/>
          <w:b w:val="1"/>
          <w:bCs w:val="1"/>
          <w:color w:val="188038"/>
          <w:rtl w:val="0"/>
        </w:rPr>
        <w:t xml:space="preserve">qualityMilestoneToken</w:t>
      </w:r>
      <w:r w:rsidDel="00000000" w:rsidR="00000000" w:rsidRPr="00000000">
        <w:rPr>
          <w:b w:val="1"/>
          <w:bCs w:val="1"/>
          <w:rtl w:val="0"/>
        </w:rPr>
        <w:t xml:space="preserve">)</w:t>
      </w:r>
      <w:r w:rsidDel="00000000" w:rsidR="00000000" w:rsidRPr="00000000">
        <w:rPr>
          <w:rtl w:val="0"/>
        </w:rPr>
        <w:t xml:space="preserve"> to identify standardized programmatic treatment variables. If any of these parameter keys are missing or unreadable during initial casting, the program breaks instantly at the gate and throws an initialization exception, protecting our financial ledgers from processing unvalidated or broken files.</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data validation succeeds, the transaction progresses through a step-by-step background validation pipeline. It first triggers the </w:t>
      </w:r>
      <w:r w:rsidDel="00000000" w:rsidR="00000000" w:rsidRPr="00000000">
        <w:rPr>
          <w:rFonts w:ascii="Roboto Mono" w:cs="Roboto Mono" w:eastAsia="Roboto Mono" w:hAnsi="Roboto Mono"/>
          <w:color w:val="188038"/>
          <w:rtl w:val="0"/>
        </w:rPr>
        <w:t xml:space="preserve">AcoContractRegistryService (v1)</w:t>
      </w:r>
      <w:r w:rsidDel="00000000" w:rsidR="00000000" w:rsidRPr="00000000">
        <w:rPr>
          <w:rtl w:val="0"/>
        </w:rPr>
        <w:t xml:space="preserve"> to pull the provider’s regional enrollment status and performance tier history, forcing the </w:t>
      </w:r>
      <w:r w:rsidDel="00000000" w:rsidR="00000000" w:rsidRPr="00000000">
        <w:rPr>
          <w:rFonts w:ascii="Roboto Mono" w:cs="Roboto Mono" w:eastAsia="Roboto Mono" w:hAnsi="Roboto Mono"/>
          <w:color w:val="188038"/>
          <w:rtl w:val="0"/>
        </w:rPr>
        <w:t xml:space="preserve">providerOrganizationId</w:t>
      </w:r>
      <w:r w:rsidDel="00000000" w:rsidR="00000000" w:rsidRPr="00000000">
        <w:rPr>
          <w:rtl w:val="0"/>
        </w:rPr>
        <w:t xml:space="preserve"> into the outbound payload map if it is missing. It then connects to the </w:t>
      </w:r>
      <w:r w:rsidDel="00000000" w:rsidR="00000000" w:rsidRPr="00000000">
        <w:rPr>
          <w:rFonts w:ascii="Roboto Mono" w:cs="Roboto Mono" w:eastAsia="Roboto Mono" w:hAnsi="Roboto Mono"/>
          <w:color w:val="188038"/>
          <w:rtl w:val="0"/>
        </w:rPr>
        <w:t xml:space="preserve">QualityScoreEfficacyService (v1)</w:t>
      </w:r>
      <w:r w:rsidDel="00000000" w:rsidR="00000000" w:rsidRPr="00000000">
        <w:rPr>
          <w:rtl w:val="0"/>
        </w:rPr>
        <w:t xml:space="preserve"> to retrieve medical metric tier codes and verify maximum utilization parameters. Following these microservice evaluations, the system streams records from the </w:t>
      </w:r>
      <w:r w:rsidDel="00000000" w:rsidR="00000000" w:rsidRPr="00000000">
        <w:rPr>
          <w:rFonts w:ascii="Roboto Mono" w:cs="Roboto Mono" w:eastAsia="Roboto Mono" w:hAnsi="Roboto Mono"/>
          <w:color w:val="188038"/>
          <w:rtl w:val="0"/>
        </w:rPr>
        <w:t xml:space="preserve">PerformanceReimbursementMatrix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qualityMilestoneToken</w:t>
      </w:r>
      <w:r w:rsidDel="00000000" w:rsidR="00000000" w:rsidRPr="00000000">
        <w:rPr>
          <w:rtl w:val="0"/>
        </w:rPr>
        <w:t xml:space="preserve"> to isolate the unique tracking identifier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current milestone's maximum allowable shared savings rate (</w:t>
      </w:r>
      <w:r w:rsidDel="00000000" w:rsidR="00000000" w:rsidRPr="00000000">
        <w:rPr>
          <w:rFonts w:ascii="Roboto Mono" w:cs="Roboto Mono" w:eastAsia="Roboto Mono" w:hAnsi="Roboto Mono"/>
          <w:color w:val="188038"/>
          <w:rtl w:val="0"/>
        </w:rPr>
        <w:t xml:space="preserve">max_shared_savings_rate</w:t>
      </w:r>
      <w:r w:rsidDel="00000000" w:rsidR="00000000" w:rsidRPr="00000000">
        <w:rPr>
          <w:rtl w:val="0"/>
        </w:rPr>
        <w:t xml:space="preserve">). Finally, the system references the performance tier code extracted during the second step to query the </w:t>
      </w:r>
      <w:r w:rsidDel="00000000" w:rsidR="00000000" w:rsidRPr="00000000">
        <w:rPr>
          <w:rFonts w:ascii="Roboto Mono" w:cs="Roboto Mono" w:eastAsia="Roboto Mono" w:hAnsi="Roboto Mono"/>
          <w:color w:val="188038"/>
          <w:rtl w:val="0"/>
        </w:rPr>
        <w:t xml:space="preserve">RegionalTaxSurcharge</w:t>
      </w:r>
      <w:r w:rsidDel="00000000" w:rsidR="00000000" w:rsidRPr="00000000">
        <w:rPr>
          <w:rtl w:val="0"/>
        </w:rPr>
        <w:t xml:space="preserve"> database table and pull the corresponding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executing final value-based payouts or passing financial allocation updates to the corporate ledger, the system routes the transaction context through a strict cost-mitigation gate. If the provider group’s profile reveals that their contract status is </w:t>
      </w:r>
      <w:r w:rsidDel="00000000" w:rsidR="00000000" w:rsidRPr="00000000">
        <w:rPr>
          <w:rFonts w:ascii="Roboto Mono" w:cs="Roboto Mono" w:eastAsia="Roboto Mono" w:hAnsi="Roboto Mono"/>
          <w:b w:val="1"/>
          <w:bCs w:val="1"/>
          <w:color w:val="188038"/>
          <w:rtl w:val="0"/>
        </w:rPr>
        <w:t xml:space="preserve">"DEFAULT"</w:t>
      </w:r>
      <w:r w:rsidDel="00000000" w:rsidR="00000000" w:rsidRPr="00000000">
        <w:rPr>
          <w:rtl w:val="0"/>
        </w:rPr>
        <w:t xml:space="preserve"> or if the quality engine flags an extreme spend variance anomaly (</w:t>
      </w:r>
      <w:r w:rsidDel="00000000" w:rsidR="00000000" w:rsidRPr="00000000">
        <w:rPr>
          <w:rFonts w:ascii="Roboto Mono" w:cs="Roboto Mono" w:eastAsia="Roboto Mono" w:hAnsi="Roboto Mono"/>
          <w:b w:val="1"/>
          <w:bCs w:val="1"/>
          <w:color w:val="188038"/>
          <w:rtl w:val="0"/>
        </w:rPr>
        <w:t xml:space="preserve">extremeSpendVarianceFlag</w:t>
      </w:r>
      <w:r w:rsidDel="00000000" w:rsidR="00000000" w:rsidRPr="00000000">
        <w:rPr>
          <w:b w:val="1"/>
          <w:bCs w:val="1"/>
          <w:rtl w:val="0"/>
        </w:rPr>
        <w:t xml:space="preserve"> is true</w:t>
      </w:r>
      <w:r w:rsidDel="00000000" w:rsidR="00000000" w:rsidRPr="00000000">
        <w:rPr>
          <w:rtl w:val="0"/>
        </w:rPr>
        <w:t xml:space="preserve">), automated pricing calculations are instantly aborted. The transaction is diverted away from the standard automated clearing track and routed directly to the </w:t>
      </w:r>
      <w:r w:rsidDel="00000000" w:rsidR="00000000" w:rsidRPr="00000000">
        <w:rPr>
          <w:b w:val="1"/>
          <w:bCs w:val="1"/>
          <w:rtl w:val="0"/>
        </w:rPr>
        <w:t xml:space="preserve">ActuarialComplianceService (v1)</w:t>
      </w:r>
      <w:r w:rsidDel="00000000" w:rsidR="00000000" w:rsidRPr="00000000">
        <w:rPr>
          <w:rtl w:val="0"/>
        </w:rPr>
        <w:t xml:space="preserve"> for a manual, high-tier forensic audit. Simultaneously, the engine executes a database lockdown sequence on the </w:t>
      </w:r>
      <w:r w:rsidDel="00000000" w:rsidR="00000000" w:rsidRPr="00000000">
        <w:rPr>
          <w:rFonts w:ascii="Roboto Mono" w:cs="Roboto Mono" w:eastAsia="Roboto Mono" w:hAnsi="Roboto Mono"/>
          <w:color w:val="188038"/>
          <w:rtl w:val="0"/>
        </w:rPr>
        <w:t xml:space="preserve">PerformanceReimbursementMatrix</w:t>
      </w:r>
      <w:r w:rsidDel="00000000" w:rsidR="00000000" w:rsidRPr="00000000">
        <w:rPr>
          <w:rtl w:val="0"/>
        </w:rPr>
        <w:t xml:space="preserve"> record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resetting the record's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"PERFORMANCE_HOLD"</w:t>
      </w:r>
      <w:r w:rsidDel="00000000" w:rsidR="00000000" w:rsidRPr="00000000">
        <w:rPr>
          <w:rtl w:val="0"/>
        </w:rPr>
        <w:t xml:space="preserve">, appending a processing outcome log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the implementation precisely matches our actuarial pricing models and structural compliance rules, the automated testing suite must validate three distinct configurations.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submits an empty orchestration context map to verify that the system breaks immediately at the gate instead of passing null variables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passes valid contract identifiers but stubs the quality score check to return an extreme variance flag, checking that the system skips standard optimization logic, routes to the review board, and stamps database record </w:t>
      </w:r>
      <w:r w:rsidDel="00000000" w:rsidR="00000000" w:rsidRPr="00000000">
        <w:rPr>
          <w:rFonts w:ascii="Roboto Mono" w:cs="Roboto Mono" w:eastAsia="Roboto Mono" w:hAnsi="Roboto Mono"/>
          <w:color w:val="188038"/>
          <w:rtl w:val="0"/>
        </w:rPr>
        <w:t xml:space="preserve">"mock-uuid-111-iii"</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"PERFORMANCE_HOLD"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TC_003_CONTRACT_DEFAULT_ROUTE</w:t>
      </w:r>
      <w:r w:rsidDel="00000000" w:rsidR="00000000" w:rsidRPr="00000000">
        <w:rPr>
          <w:b w:val="1"/>
          <w:bCs w:val="1"/>
          <w:rtl w:val="0"/>
        </w:rPr>
        <w:t xml:space="preserve">)</w:t>
      </w:r>
      <w:r w:rsidDel="00000000" w:rsidR="00000000" w:rsidRPr="00000000">
        <w:rPr>
          <w:rtl w:val="0"/>
        </w:rPr>
        <w:t xml:space="preserve"> uses identical payload parameters but maps the provider profile status to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confirming that inactive or breached contracts trigger the exact same routing restrictions and database freeze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