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pPr>
      <w:r w:rsidDel="00000000" w:rsidR="00000000" w:rsidRPr="00000000">
        <w:rPr>
          <w:rtl w:val="0"/>
        </w:rPr>
        <w:t xml:space="preserve">The microservice extracts the top three design configuration numbers from the incoming transaction payload. For all three configuration values, the system checks historical data from the option configuration notes table based on the manufacturing year. It evaluates whether any engine serial numbers have been produced in the trailing ten-year window relative to the current system calendar year. If a valid count of engine serial numbers is found for at least one of the three candidate configurations, the logic proceeds with deeper evaluation. If none of the configurations show any manufacturing records within that ten-year timeline, the service halts further processing and immediately triggers an external windchill synchronization service.</w:t>
      </w:r>
    </w:p>
    <w:p w:rsidR="00000000" w:rsidDel="00000000" w:rsidP="00000000" w:rsidRDefault="00000000" w:rsidRPr="00000000" w14:paraId="00000002">
      <w:pPr>
        <w:spacing w:after="240" w:lineRule="auto"/>
        <w:rPr/>
      </w:pPr>
      <w:r w:rsidDel="00000000" w:rsidR="00000000" w:rsidRPr="00000000">
        <w:rPr>
          <w:rtl w:val="0"/>
        </w:rPr>
        <w:t xml:space="preserve">For the configurations passing the check, the process splits its evaluation into distinct historical horizons. It tallies the total engine serial counts from the most recent five years and compares them against the cumulative production totals from the preceding five-to-ten year window. To advance, the production volume from the recent five-year bracket must strictly exceed the older volume baseline. Among the candidate design configuration numbers that successfully satisfy this horizon expansion rule, the system determines which configuration possesses the absolute highest asset volume from that recent five-year bracket. That specific high-performing configuration number is officially selected as the primary configuration. If no configuration manages to satisfy these production trajectory checks, the application routes execution entirely out of the main logic to trigger the windchill service.</w:t>
      </w:r>
    </w:p>
    <w:p w:rsidR="00000000" w:rsidDel="00000000" w:rsidP="00000000" w:rsidRDefault="00000000" w:rsidRPr="00000000" w14:paraId="00000003">
      <w:pPr>
        <w:spacing w:after="240" w:lineRule="auto"/>
        <w:rPr/>
      </w:pPr>
      <w:r w:rsidDel="00000000" w:rsidR="00000000" w:rsidRPr="00000000">
        <w:rPr>
          <w:rtl w:val="0"/>
        </w:rPr>
        <w:t xml:space="preserve">Once a primary design configuration is confirmed, the engine maps the resulting configuration string against the code attribute within the master configuration entity. This mapping resolves six core technical dimensions: the engine model, displacement liters, certification level, market application framework, engine structure type, and fuel system type. Finally, the system updates these newly resolved technical specs against the matching record inside the inventory part catalog , while appending the original tracking unique identifier back into the response payload to maintain complete tracking integrity.</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