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cu_palantir__part_segment__update</w:t>
      </w:r>
      <w:r w:rsidDel="00000000" w:rsidR="00000000" w:rsidRPr="00000000">
        <w:rPr>
          <w:rtl w:val="0"/>
        </w:rPr>
        <w:t xml:space="preserve"> microservice processes updates only if the inbound region attribute evaluates explicitly to "Rest of the World". Once eligible, the service maps the request's short part number and region fields against the part registry to determine a matching master part number string. It then evaluates the component's segment type; if the parameter is identified specifically as "ANALYTICAL", the system extracts the baseline initial price from the part table. Finally, the logic shifts this initial asset pricing value directly into the future price attribute of the pricing ledger for that part code, while simultaneously updating the future effective execution timeline column with the active calendar system date.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