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microservice checks the inbound payload to extract the part number, pricing admin owner code, part noun name, and record tracking uuid. It executes an initial search against the master administration registry to map the owner string code to its internal numeric identifier. Next, the system performs a strict query against the cross-reference matrix table to locate records matching both the part name and that internal owner identifier. In parallel, it evaluates a secondary lookup on the same table filtering solely by the part noun name. If the first strict lookup isolates exactly one record and its classification code is not null, the system triggers an update operation against the master part entity, using the request uuid to overwrite the export control classification field with that exact value. If that condition is unmet but the name-only fallback lookup isolates exactly one record containing a valid classification code, it updates the master part entity with that code instead. If the name-only query returns multiple records, the entry is considered ambiguous, and the engine bypasses modifications to return the context untouched. If both matrix lookups return no rows, the system initializes an insert statement to add a new cross-reference entry populated with the extracted owner identifier and part name string, while explicitly forcing the classification value to null. Operating independently on a weekly schedule, an alert generation query streams all entries from the cross-reference table where the classification value is null. The calculation routine aggregates these unassigned rows and generates a system message with the subject line "ECC Mapping Required" to alert compliance analysts for manual review.</w:t>
      </w:r>
    </w:p>
    <w:p w:rsidR="00000000" w:rsidDel="00000000" w:rsidP="00000000" w:rsidRDefault="00000000" w:rsidRPr="00000000" w14:paraId="00000002">
      <w:pPr>
        <w:spacing w:after="240" w:before="240" w:lineRule="auto"/>
        <w:rPr/>
      </w:pPr>
      <w:r w:rsidDel="00000000" w:rsidR="00000000" w:rsidRPr="00000000">
        <w:rPr>
          <w:rtl w:val="0"/>
        </w:rPr>
        <w:t xml:space="preserve">For tracking configuration updates, the engine first validates whether the provided child part code exists inside the short part number column of the main part database table, halting execution immediately if the validation fails. It then pulls all option revision numbers tied to that child part from the options table. These gathered revision identifiers are matched against the option assembly numbers in the engine bill-of-materials configuration ledger to extract all corresponding engine serial numbers and their build dates. The engine aggregates these production timelines, finds the maximum build date, and isolates its calendar year. Using that year, the system streams active configuration records from the configuration volume ledger table to capture design config numbers and their engine production counts. The script filters these rows to isolate the highest manufacturing count and grabs its associated design configuration string. Finally, the service runs a combined update/insert statement against the component segment tracking table using the request short part number, mapping the extracted year into the production year field and updating the latest configuration attribute with the resolved design string.</w:t>
      </w:r>
    </w:p>
    <w:p w:rsidR="00000000" w:rsidDel="00000000" w:rsidP="00000000" w:rsidRDefault="00000000" w:rsidRPr="00000000" w14:paraId="00000003">
      <w:pPr>
        <w:spacing w:after="240" w:before="240" w:lineRule="auto"/>
        <w:rPr/>
      </w:pPr>
      <w:r w:rsidDel="00000000" w:rsidR="00000000" w:rsidRPr="00000000">
        <w:rPr>
          <w:rtl w:val="0"/>
        </w:rPr>
        <w:t xml:space="preserve">When an engine configuration frame is processed, the system runs an inspection against the asset database to determine if a record already matches the combination of design configuration number and engine serial number. If no matching rows exist, a creation sequence executes to insert a brand-new configuration record into the ledger with all relevant engine, build, emission, and technical specifications, stamping the creator metadata field as "Commercial Exit" along with the current zone date and time. If exactly one matching row is isolated, the process runs an update to overwrite the historical parameters with the newest request details, stamping the update modifier field as "Commercial Exit" with the current system time. If multiple duplicate records are found, the system initializes a loop to evaluate each row handle, executing modifications and appending the "Commercial Exit" tracking tags only to entries that contain a valid unique database identifier, while safely skipping any rows that lack a unique handle.</w:t>
      </w:r>
    </w:p>
    <w:p w:rsidR="00000000" w:rsidDel="00000000" w:rsidP="00000000" w:rsidRDefault="00000000" w:rsidRPr="00000000" w14:paraId="00000004">
      <w:pPr>
        <w:spacing w:after="240" w:before="240" w:lineRule="auto"/>
        <w:rPr/>
      </w:pPr>
      <w:r w:rsidDel="00000000" w:rsidR="00000000" w:rsidRPr="00000000">
        <w:rPr>
          <w:rtl w:val="0"/>
        </w:rPr>
        <w:t xml:space="preserve">For attribute price tuning updates, the process captures the technical configuration, marketing configuration, and fuel rating horsepower from the request payload. It maps the marketing configuration code against the master configuration library to pull five technical attributes: the model, displacement liters, certification level, market application, and engine type. These five parameters and the horsepower are cross-referenced with the suggested prices database table to pull the pricing method and pricing method value formulas. The active pricing table is then queried using the request technical configuration, marketing configuration, and horsepower keys to extract the current price, publish price, and active pricing action. The calculation module evaluates the pricing method string to compute the prospective future price: if the method is value-based, it adds the formula value to the publish price, or falls back to adding it to the current price if the publish price is null; if the method is percentage-based, it scales the publish price by the method value percentage, or falls back to the current price if the publish price is missing. Finally, the service launches an update against the core pricing ledger matching on technical configuration, marketing configuration, and horsepower to save the new technical specifications and the calculated future price. If the pricing action flag extracted earlier is blank or null, the system queries the master pricing action table to find the unique ID matching code 'None' and overwrites the target record's blank pricing action column with this backup identifier.</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