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The microservice queries all records from the pricing entity where both the future price and the future effective date are populated. For each matching record, the engine retrieves the pricing action identifier from the database and checks if its approval status is set to Yes within the master approval action table. If both the presence of the data and the approval criteria are successfully satisfied, the system copies the future price and future effective date values directly into the publish price and publish effective date fields, subsequently wiping the future price and future effective date parameters by setting them to null.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