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microservice streams all pricing records from the database where the published price and the published effective date are populated, and the published effective date is less than or equal to the current processing date. For every record meeting these criteria, the logic maps the parameters to execute a data shift sequence. The system copies the existing published price and published effective date values directly into the current price and current effective date fields, and subsequently clears out the published attributes by setting both the published price and published effective date columns to null.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