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system processes inbound requests differently based on the targeting entity classification provided in the message frame. When the incoming entity type is identified specifically as a suggested engine prices ledger, the engine extracts an engineering performance array from the payload, including the engine model, displacement liters, certification tier, market application type, engine design structure, and fuel rating horsepower parameters. The lookup logic evaluates each parameter dynamically, accounting for whether a specific value is populated or if the field arrives blank. Every matching price rule structure discovered via this variable parameter matrix is streamed sequentially and passed to subsequent functional steps for record adjustments. Conversely, when the incoming entity type is identified as a system configuration profile, the engine alters its routing logic to capture the specific master configuration code from the request payload. This string key is mapped directly against the configuration library to isolate all active pricing entries that are currently tied to that explicit marketing configuration grouping. Regardless of which data entry path is activated by the incoming payload, every single matching ledger record isolated by the respective search routines is individually processed and systematically dispatched to the main attribute modification pipeline to refresh the broader asset pricing ecosystem.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