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application performs a dynamic stream-side join to extract distinct design configuration numbers from the option config notes entity where the assembly identifiers match the option revision numbers tied to the request short part number. For each design configuration string received through this data stream, the logic computes the total manufacturing engine count from the notes table and isolates the top three configuration records possessing the highest volume totals. It evaluates the absolute highest-ranking design configuration number to confirm whether any associated equipment serial numbers have been built within the trailing ten-year window relative to the current system calendar year. If no records are found within that ten-year timeline, the application immediately routes execution out of the core pipeline to trigger an external windchill synchronization service. When historical data exists, the computational routine splits the evaluation into distinct analytical horizons: it tallies total engine counts from the last five years and compares them against the cumulative production totals from the preceding five-to-ten year window. If the manufacturing volume from the recent five-year bracket strictly exceeds the older volume threshold, the system automatically adopts this design configuration as the primary active configuration. However, if recent production volumes have decelerated and fail to beat the historical baseline, the system halts local assignment and instead calls a secondary validation route, passing all top three isolated configuration numbers for deeper algorithmic processing. Once a primary design configuration is confirmed and selected, the engine maps this final configuration string against the master configuration registry code column to resolve six target engineering attributes: the specific engine model, displacement liters, regulatory certification level, market application framework, base engine design type, and core fuel system configuration. Finally, the system updates these newly resolved technical descriptors against the matching component record inside the primary inventory catalog while appending the original tracking unique identifier back into the response payload.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