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microservice extracts the top three design configuration numbers from the incoming transaction payload. For each design configuration string, the system queries the configuration entity—mapping the configuration number directly to the code column—to fetch its corresponding engine model and displacement liters. The engine then executes an equivalence check across the retrieved metrics: if all fetched engine models are identical and the absolute mathematical difference between their displacement liters is strictly less than four, the criteria are satisfied and execution proceeds. If either validation condition is violated, the service routes the workflow out of the current path and triggers an external Criteria 3 microservice, forwarding the top three design configuration numbers for fallback evaluation. If the checks pass, the system isolates the top-ranked design configuration number and searches the master configuration registry where the code matches this value. From this configuration record, the logic resolves six distinct engineering spec values: the engine model, displacement liters, certification level, market application framework, engine design type, and fuel system type. Finally, an update statement updates the master part entity with these newly resolved spec values while preserving data tracking by appending the request's unique identifier into the output response payload.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