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Times New Roman" w:hAnsi="Times New Roman"/>
          <w:b/>
          <w:color w:val="002060"/>
          <w:sz w:val="40"/>
        </w:rPr>
        <w:t>COURSEFLOW: A UNIFIED PORTAL FOR DEVELOPING A MODEL CURRICULUM FOR AICTE INSTITUTES</w:t>
        <w:br/>
      </w:r>
    </w:p>
    <w:p>
      <w:pPr>
        <w:spacing w:after="600"/>
        <w:jc w:val="center"/>
      </w:pPr>
      <w:r>
        <w:rPr>
          <w:rFonts w:ascii="Times New Roman" w:hAnsi="Times New Roman"/>
          <w:b/>
          <w:sz w:val="26"/>
        </w:rPr>
        <w:t>A Project Report Submitted in Partial Fulfillment of the Requirements for the Award of the Degree of</w:t>
        <w:br/>
        <w:t>BACHELOR OF TECHNOLOGY</w:t>
        <w:br/>
        <w:t>in</w:t>
        <w:br/>
        <w:t>COMPUTER SCIENCE AND ENGINEERING</w:t>
      </w:r>
    </w:p>
    <w:p>
      <w:pPr>
        <w:spacing w:after="600"/>
        <w:jc w:val="center"/>
      </w:pPr>
      <w:r>
        <w:rPr>
          <w:rFonts w:ascii="Times New Roman" w:hAnsi="Times New Roman"/>
          <w:b/>
          <w:sz w:val="24"/>
        </w:rPr>
        <w:t>Submitted by:</w:t>
        <w:br/>
        <w:br/>
        <w:t>ASIFA KHATOON (20231CSE0582)</w:t>
        <w:br/>
        <w:t>H KHADEEJA NEHLA SUNEER (20231CSE0571)</w:t>
        <w:br/>
        <w:t>ABHISHEK PATIL S N (20231CSE0336)</w:t>
        <w:br/>
        <w:br/>
        <w:t>Under the Guidance and Supervision of:</w:t>
        <w:br/>
        <w:t>Prof. Sakthi S</w:t>
        <w:br/>
        <w:t>Assistant Professor, Department of Computer Science &amp; Engineering</w:t>
      </w:r>
    </w:p>
    <w:p>
      <w:pPr>
        <w:spacing w:before="600"/>
        <w:jc w:val="center"/>
      </w:pPr>
      <w:r>
        <w:rPr>
          <w:rFonts w:ascii="Times New Roman" w:hAnsi="Times New Roman"/>
          <w:b/>
          <w:sz w:val="26"/>
        </w:rPr>
        <w:t>SCHOOL OF COMPUTER SCIENCE AND ENGINEERING</w:t>
        <w:br/>
        <w:t>PRESIDENCY UNIVERSITY</w:t>
        <w:br/>
        <w:t>BENGALURU - 560064, INDIA</w:t>
        <w:br/>
        <w:t>OCTOBER 2026</w:t>
      </w:r>
    </w:p>
    <w:p>
      <w:r>
        <w:br w:type="page"/>
      </w:r>
    </w:p>
    <w:p>
      <w:pPr>
        <w:jc w:val="center"/>
      </w:pPr>
      <w:r>
        <w:rPr>
          <w:rFonts w:ascii="Times New Roman" w:hAnsi="Times New Roman"/>
          <w:b/>
          <w:sz w:val="36"/>
        </w:rPr>
        <w:t>ABSTRACT</w:t>
      </w:r>
    </w:p>
    <w:p>
      <w:pPr>
        <w:spacing w:line="360" w:lineRule="auto" w:after="120"/>
        <w:jc w:val="both"/>
      </w:pPr>
      <w:r>
        <w:rPr>
          <w:rFonts w:ascii="Times New Roman" w:hAnsi="Times New Roman"/>
          <w:color w:val="000000"/>
          <w:sz w:val="24"/>
        </w:rPr>
        <w:t>The contemporary higher technical education ecosystem across India faces significant operational bottlenecks in managing, updating, and aligning undergraduate engineering curricula with national regulatory benchmarks. Under mandates from the All India Council for Technical Education (AICTE), the National Education Policy (NEP 2020), and the National Credit Framework (NCrF), autonomous universities and technical institutes must continually harmonize institutional syllabi with model curricular guidelines. However, prevailing academic workflows rely predominantly on static multi-hundred-page PDF booklets, fragmented word processing documents, unstandardized spreadsheets, and unmonitored email exchanges. This disjointed document-centric paradigm precipitates severe information silos, administrative latency, credit distribution anomalies across Lecture-Tutorial-Practical-Credit (L-T-P-C) allocations, and sluggish Board of Studies revision cycles that often lag several semesters behind emergent industry skill requirements. Consequently, evaluating syllabus symmetry, cognitive rigor, and compliance during national accreditation audits becomes an arduous, error-prone endeavor. To systematically eliminate these institutional challenges, this final year capstone project introduces CourseFlow, an end-to-end, enterprise-grade digital curriculum lifecycle management platform engineered specifically for autonomous universities and AICTE-affiliated institutions. CourseFlow establishes a single authoritative source of truth that transforms static, unstructured curriculum documents into standardized, machine-readable digital assets, enabling transparent governance, structured collaborative authoring, and comprehensive real-time curricular oversight across all academic tiers and institutional stakeholders.</w:t>
      </w:r>
    </w:p>
    <w:p>
      <w:pPr>
        <w:spacing w:line="360" w:lineRule="auto" w:after="120"/>
        <w:jc w:val="both"/>
      </w:pPr>
      <w:r>
        <w:rPr>
          <w:rFonts w:ascii="Times New Roman" w:hAnsi="Times New Roman"/>
          <w:color w:val="000000"/>
          <w:sz w:val="24"/>
        </w:rPr>
        <w:t>Architecturally, CourseFlow is constructed upon a high-performance modern decoupled stack integrating a React single-page frontend with a FastAPI asynchronous microservice backend and an automated PDF ingestion parser. The platform incorporates a robust multi-role access control governance matrix delineating permissions across Institutional Deans, Department Heads, Course Coordinators, and Students. Key technical innovations include an automated regulation PDF parser with bounding-box heuristic extraction, an interactive eight-semester curriculum hierarchy builder supporting dynamic credit calculations, an automated Bloom’s Taxonomy cognitive auditor assessing course outcome action verbs, and an integrated Board of Studies revision queue featuring visual side-by-side diffing. Furthermore, CourseFlow implements an automated Content Symmetry scoring algorithm that computes vector similarity against model AICTE syllabi to expose skill gaps in emergent disciplines like Artificial Intelligence and DevSecOps. Empirical validation conducted over a multi-semester engineering curriculum testbed demonstrates that CourseFlow achieves a 90% reduction in curriculum assembly time, condensing traditional administrative preparation from 2.5 hours to under 10 minutes per course syllabus while maintaining absolute credit parity across the mandatory 160.0 degree credit threshold. By replacing manual paperwork with automated, data-driven academic governance, CourseFlow directly advances United Nations Sustainable Development Goal 9 (Industry, Innovation, and Infrastructure) and establishes an institutional benchmark for Outcome-Based Education.</w:t>
      </w:r>
    </w:p>
    <w:p>
      <w:pPr>
        <w:spacing w:line="360" w:lineRule="auto" w:after="120"/>
        <w:jc w:val="both"/>
      </w:pPr>
      <w:r>
        <w:rPr>
          <w:rFonts w:ascii="Times New Roman" w:hAnsi="Times New Roman"/>
          <w:b/>
          <w:color w:val="000000"/>
          <w:sz w:val="24"/>
        </w:rPr>
        <w:t xml:space="preserve">Keywords: </w:t>
      </w:r>
      <w:r>
        <w:rPr>
          <w:rFonts w:ascii="Times New Roman" w:hAnsi="Times New Roman"/>
          <w:color w:val="000000"/>
          <w:sz w:val="24"/>
        </w:rPr>
        <w:t>Curriculum Management, AICTE Model Curriculum, Outcome-Based Education (OBE), Bloom's Taxonomy, Syllabus Symmetry, Board of Studies Review, NEP 2020, Academic Governance, SDG 9.</w:t>
      </w:r>
    </w:p>
    <w:p>
      <w:r>
        <w:br w:type="page"/>
      </w:r>
    </w:p>
    <w:p>
      <w:pPr>
        <w:jc w:val="center"/>
      </w:pPr>
      <w:r>
        <w:rPr>
          <w:rFonts w:ascii="Times New Roman" w:hAnsi="Times New Roman"/>
          <w:b/>
          <w:sz w:val="36"/>
        </w:rPr>
        <w:t>TABLE OF CONTENTS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Pr>
          <w:p>
            <w:r>
              <w:rPr>
                <w:b/>
              </w:rPr>
              <w:t>CHAPTER NO</w:t>
            </w:r>
          </w:p>
        </w:tc>
        <w:tc>
          <w:tcPr>
            <w:tcW w:type="dxa" w:w="3120"/>
          </w:tcPr>
          <w:p>
            <w:r>
              <w:rPr>
                <w:b/>
              </w:rPr>
              <w:t>TITLE</w:t>
            </w:r>
          </w:p>
        </w:tc>
        <w:tc>
          <w:tcPr>
            <w:tcW w:type="dxa" w:w="3120"/>
          </w:tcPr>
          <w:p>
            <w:r>
              <w:rPr>
                <w:b/>
              </w:rPr>
              <w:t>PAGE NO</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ABSTRACT</w:t>
            </w:r>
          </w:p>
        </w:tc>
        <w:tc>
          <w:tcPr>
            <w:tcW w:type="dxa" w:w="3120"/>
          </w:tcPr>
          <w:p>
            <w:pPr>
              <w:jc w:val="right"/>
            </w:pPr>
            <w:r>
              <w:rPr>
                <w:rFonts w:ascii="Times New Roman" w:hAnsi="Times New Roman"/>
                <w:sz w:val="22"/>
              </w:rPr>
              <w:t>v</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TABLE OF CONTENTS</w:t>
            </w:r>
          </w:p>
        </w:tc>
        <w:tc>
          <w:tcPr>
            <w:tcW w:type="dxa" w:w="3120"/>
          </w:tcPr>
          <w:p>
            <w:pPr>
              <w:jc w:val="right"/>
            </w:pPr>
            <w:r>
              <w:rPr>
                <w:rFonts w:ascii="Times New Roman" w:hAnsi="Times New Roman"/>
                <w:sz w:val="22"/>
              </w:rPr>
              <w:t>vi</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LIST OF FIGURES</w:t>
            </w:r>
          </w:p>
        </w:tc>
        <w:tc>
          <w:tcPr>
            <w:tcW w:type="dxa" w:w="3120"/>
          </w:tcPr>
          <w:p>
            <w:pPr>
              <w:jc w:val="right"/>
            </w:pPr>
            <w:r>
              <w:rPr>
                <w:rFonts w:ascii="Times New Roman" w:hAnsi="Times New Roman"/>
                <w:sz w:val="22"/>
              </w:rPr>
              <w:t>viii</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LIST OF TABLES</w:t>
            </w:r>
          </w:p>
        </w:tc>
        <w:tc>
          <w:tcPr>
            <w:tcW w:type="dxa" w:w="3120"/>
          </w:tcPr>
          <w:p>
            <w:pPr>
              <w:jc w:val="right"/>
            </w:pPr>
            <w:r>
              <w:rPr>
                <w:rFonts w:ascii="Times New Roman" w:hAnsi="Times New Roman"/>
                <w:sz w:val="22"/>
              </w:rPr>
              <w:t>ix</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ABBREVIATIONS</w:t>
            </w:r>
          </w:p>
        </w:tc>
        <w:tc>
          <w:tcPr>
            <w:tcW w:type="dxa" w:w="3120"/>
          </w:tcPr>
          <w:p>
            <w:pPr>
              <w:jc w:val="right"/>
            </w:pPr>
            <w:r>
              <w:rPr>
                <w:rFonts w:ascii="Times New Roman" w:hAnsi="Times New Roman"/>
                <w:sz w:val="22"/>
              </w:rPr>
              <w:t>x</w:t>
            </w:r>
          </w:p>
        </w:tc>
      </w:tr>
      <w:tr>
        <w:tc>
          <w:tcPr>
            <w:tcW w:type="dxa" w:w="3120"/>
          </w:tcPr>
          <w:p>
            <w:pPr>
              <w:jc w:val="left"/>
            </w:pPr>
            <w:r>
              <w:rPr>
                <w:rFonts w:ascii="Times New Roman" w:hAnsi="Times New Roman"/>
                <w:b/>
                <w:sz w:val="22"/>
              </w:rPr>
              <w:t>1.</w:t>
            </w:r>
          </w:p>
        </w:tc>
        <w:tc>
          <w:tcPr>
            <w:tcW w:type="dxa" w:w="3120"/>
          </w:tcPr>
          <w:p>
            <w:pPr>
              <w:jc w:val="left"/>
            </w:pPr>
            <w:r>
              <w:rPr>
                <w:rFonts w:ascii="Times New Roman" w:hAnsi="Times New Roman"/>
                <w:b/>
                <w:sz w:val="22"/>
              </w:rPr>
              <w:t>INTRODUCTION</w:t>
            </w:r>
          </w:p>
        </w:tc>
        <w:tc>
          <w:tcPr>
            <w:tcW w:type="dxa" w:w="3120"/>
          </w:tcPr>
          <w:p>
            <w:pPr>
              <w:jc w:val="right"/>
            </w:pPr>
            <w:r>
              <w:rPr>
                <w:rFonts w:ascii="Times New Roman" w:hAnsi="Times New Roman"/>
                <w:b/>
                <w:sz w:val="22"/>
              </w:rPr>
              <w:t>1</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1.1 Background and Motivation</w:t>
            </w:r>
          </w:p>
        </w:tc>
        <w:tc>
          <w:tcPr>
            <w:tcW w:type="dxa" w:w="3120"/>
          </w:tcPr>
          <w:p>
            <w:pPr>
              <w:jc w:val="right"/>
            </w:pPr>
            <w:r>
              <w:rPr>
                <w:rFonts w:ascii="Times New Roman" w:hAnsi="Times New Roman"/>
                <w:sz w:val="22"/>
              </w:rPr>
              <w:t>1</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1.2 Scope and Operational Limitations of Existing Methods</w:t>
            </w:r>
          </w:p>
        </w:tc>
        <w:tc>
          <w:tcPr>
            <w:tcW w:type="dxa" w:w="3120"/>
          </w:tcPr>
          <w:p>
            <w:pPr>
              <w:jc w:val="right"/>
            </w:pPr>
            <w:r>
              <w:rPr>
                <w:rFonts w:ascii="Times New Roman" w:hAnsi="Times New Roman"/>
                <w:sz w:val="22"/>
              </w:rPr>
              <w:t>2</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1.3 Problem Statement</w:t>
            </w:r>
          </w:p>
        </w:tc>
        <w:tc>
          <w:tcPr>
            <w:tcW w:type="dxa" w:w="3120"/>
          </w:tcPr>
          <w:p>
            <w:pPr>
              <w:jc w:val="right"/>
            </w:pPr>
            <w:r>
              <w:rPr>
                <w:rFonts w:ascii="Times New Roman" w:hAnsi="Times New Roman"/>
                <w:sz w:val="22"/>
              </w:rPr>
              <w:t>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1.4 Research Motivation</w:t>
            </w:r>
          </w:p>
        </w:tc>
        <w:tc>
          <w:tcPr>
            <w:tcW w:type="dxa" w:w="3120"/>
          </w:tcPr>
          <w:p>
            <w:pPr>
              <w:jc w:val="right"/>
            </w:pPr>
            <w:r>
              <w:rPr>
                <w:rFonts w:ascii="Times New Roman" w:hAnsi="Times New Roman"/>
                <w:sz w:val="22"/>
              </w:rPr>
              <w:t>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1.5 Methodology Overview</w:t>
            </w:r>
          </w:p>
        </w:tc>
        <w:tc>
          <w:tcPr>
            <w:tcW w:type="dxa" w:w="3120"/>
          </w:tcPr>
          <w:p>
            <w:pPr>
              <w:jc w:val="right"/>
            </w:pPr>
            <w:r>
              <w:rPr>
                <w:rFonts w:ascii="Times New Roman" w:hAnsi="Times New Roman"/>
                <w:sz w:val="22"/>
              </w:rPr>
              <w:t>4</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1.6 Organization of the Project Report</w:t>
            </w:r>
          </w:p>
        </w:tc>
        <w:tc>
          <w:tcPr>
            <w:tcW w:type="dxa" w:w="3120"/>
          </w:tcPr>
          <w:p>
            <w:pPr>
              <w:jc w:val="right"/>
            </w:pPr>
            <w:r>
              <w:rPr>
                <w:rFonts w:ascii="Times New Roman" w:hAnsi="Times New Roman"/>
                <w:sz w:val="22"/>
              </w:rPr>
              <w:t>5</w:t>
            </w:r>
          </w:p>
        </w:tc>
      </w:tr>
      <w:tr>
        <w:tc>
          <w:tcPr>
            <w:tcW w:type="dxa" w:w="3120"/>
          </w:tcPr>
          <w:p>
            <w:pPr>
              <w:jc w:val="left"/>
            </w:pPr>
            <w:r>
              <w:rPr>
                <w:rFonts w:ascii="Times New Roman" w:hAnsi="Times New Roman"/>
                <w:b/>
                <w:sz w:val="22"/>
              </w:rPr>
              <w:t>2.</w:t>
            </w:r>
          </w:p>
        </w:tc>
        <w:tc>
          <w:tcPr>
            <w:tcW w:type="dxa" w:w="3120"/>
          </w:tcPr>
          <w:p>
            <w:pPr>
              <w:jc w:val="left"/>
            </w:pPr>
            <w:r>
              <w:rPr>
                <w:rFonts w:ascii="Times New Roman" w:hAnsi="Times New Roman"/>
                <w:b/>
                <w:sz w:val="22"/>
              </w:rPr>
              <w:t>LITERATURE REVIEW</w:t>
            </w:r>
          </w:p>
        </w:tc>
        <w:tc>
          <w:tcPr>
            <w:tcW w:type="dxa" w:w="3120"/>
          </w:tcPr>
          <w:p>
            <w:pPr>
              <w:jc w:val="right"/>
            </w:pPr>
            <w:r>
              <w:rPr>
                <w:rFonts w:ascii="Times New Roman" w:hAnsi="Times New Roman"/>
                <w:b/>
                <w:sz w:val="22"/>
              </w:rPr>
              <w:t>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2.1 Introduction to Related Work</w:t>
            </w:r>
          </w:p>
        </w:tc>
        <w:tc>
          <w:tcPr>
            <w:tcW w:type="dxa" w:w="3120"/>
          </w:tcPr>
          <w:p>
            <w:pPr>
              <w:jc w:val="right"/>
            </w:pPr>
            <w:r>
              <w:rPr>
                <w:rFonts w:ascii="Times New Roman" w:hAnsi="Times New Roman"/>
                <w:sz w:val="22"/>
              </w:rPr>
              <w:t>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2.2 Systematic Survey of Existing Systems (10 Research Papers)</w:t>
            </w:r>
          </w:p>
        </w:tc>
        <w:tc>
          <w:tcPr>
            <w:tcW w:type="dxa" w:w="3120"/>
          </w:tcPr>
          <w:p>
            <w:pPr>
              <w:jc w:val="right"/>
            </w:pPr>
            <w:r>
              <w:rPr>
                <w:rFonts w:ascii="Times New Roman" w:hAnsi="Times New Roman"/>
                <w:sz w:val="22"/>
              </w:rPr>
              <w:t>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2.3 Comparative Analysis &amp; Research Synthesis</w:t>
            </w:r>
          </w:p>
        </w:tc>
        <w:tc>
          <w:tcPr>
            <w:tcW w:type="dxa" w:w="3120"/>
          </w:tcPr>
          <w:p>
            <w:pPr>
              <w:jc w:val="right"/>
            </w:pPr>
            <w:r>
              <w:rPr>
                <w:rFonts w:ascii="Times New Roman" w:hAnsi="Times New Roman"/>
                <w:sz w:val="22"/>
              </w:rPr>
              <w:t>11</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2.4 Chapter Summary</w:t>
            </w:r>
          </w:p>
        </w:tc>
        <w:tc>
          <w:tcPr>
            <w:tcW w:type="dxa" w:w="3120"/>
          </w:tcPr>
          <w:p>
            <w:pPr>
              <w:jc w:val="right"/>
            </w:pPr>
            <w:r>
              <w:rPr>
                <w:rFonts w:ascii="Times New Roman" w:hAnsi="Times New Roman"/>
                <w:sz w:val="22"/>
              </w:rPr>
              <w:t>12</w:t>
            </w:r>
          </w:p>
        </w:tc>
      </w:tr>
      <w:tr>
        <w:tc>
          <w:tcPr>
            <w:tcW w:type="dxa" w:w="3120"/>
          </w:tcPr>
          <w:p>
            <w:pPr>
              <w:jc w:val="left"/>
            </w:pPr>
            <w:r>
              <w:rPr>
                <w:rFonts w:ascii="Times New Roman" w:hAnsi="Times New Roman"/>
                <w:b/>
                <w:sz w:val="22"/>
              </w:rPr>
              <w:t>3.</w:t>
            </w:r>
          </w:p>
        </w:tc>
        <w:tc>
          <w:tcPr>
            <w:tcW w:type="dxa" w:w="3120"/>
          </w:tcPr>
          <w:p>
            <w:pPr>
              <w:jc w:val="left"/>
            </w:pPr>
            <w:r>
              <w:rPr>
                <w:rFonts w:ascii="Times New Roman" w:hAnsi="Times New Roman"/>
                <w:b/>
                <w:sz w:val="22"/>
              </w:rPr>
              <w:t>RESEARCH GAPS OF EXISTING METHODS</w:t>
            </w:r>
          </w:p>
        </w:tc>
        <w:tc>
          <w:tcPr>
            <w:tcW w:type="dxa" w:w="3120"/>
          </w:tcPr>
          <w:p>
            <w:pPr>
              <w:jc w:val="right"/>
            </w:pPr>
            <w:r>
              <w:rPr>
                <w:rFonts w:ascii="Times New Roman" w:hAnsi="Times New Roman"/>
                <w:b/>
                <w:sz w:val="22"/>
              </w:rPr>
              <w:t>13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3.1 Analysis of Document-Centric Bottlenecks</w:t>
            </w:r>
          </w:p>
        </w:tc>
        <w:tc>
          <w:tcPr>
            <w:tcW w:type="dxa" w:w="3120"/>
          </w:tcPr>
          <w:p>
            <w:pPr>
              <w:jc w:val="right"/>
            </w:pPr>
            <w:r>
              <w:rPr>
                <w:rFonts w:ascii="Times New Roman" w:hAnsi="Times New Roman"/>
                <w:sz w:val="22"/>
              </w:rPr>
              <w:t>13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3.2 Absence of Real-Time Version Control &amp; Visual Diffs</w:t>
            </w:r>
          </w:p>
        </w:tc>
        <w:tc>
          <w:tcPr>
            <w:tcW w:type="dxa" w:w="3120"/>
          </w:tcPr>
          <w:p>
            <w:pPr>
              <w:jc w:val="right"/>
            </w:pPr>
            <w:r>
              <w:rPr>
                <w:rFonts w:ascii="Times New Roman" w:hAnsi="Times New Roman"/>
                <w:sz w:val="22"/>
              </w:rPr>
              <w:t>13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3.3 Ineffective Emerging Industry Skill Gap Detection</w:t>
            </w:r>
          </w:p>
        </w:tc>
        <w:tc>
          <w:tcPr>
            <w:tcW w:type="dxa" w:w="3120"/>
          </w:tcPr>
          <w:p>
            <w:pPr>
              <w:jc w:val="right"/>
            </w:pPr>
            <w:r>
              <w:rPr>
                <w:rFonts w:ascii="Times New Roman" w:hAnsi="Times New Roman"/>
                <w:sz w:val="22"/>
              </w:rPr>
              <w:t>14</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3.4 Chapter Summary</w:t>
            </w:r>
          </w:p>
        </w:tc>
        <w:tc>
          <w:tcPr>
            <w:tcW w:type="dxa" w:w="3120"/>
          </w:tcPr>
          <w:p>
            <w:pPr>
              <w:jc w:val="right"/>
            </w:pPr>
            <w:r>
              <w:rPr>
                <w:rFonts w:ascii="Times New Roman" w:hAnsi="Times New Roman"/>
                <w:sz w:val="22"/>
              </w:rPr>
              <w:t>14</w:t>
            </w:r>
          </w:p>
        </w:tc>
      </w:tr>
      <w:tr>
        <w:tc>
          <w:tcPr>
            <w:tcW w:type="dxa" w:w="3120"/>
          </w:tcPr>
          <w:p>
            <w:pPr>
              <w:jc w:val="left"/>
            </w:pPr>
            <w:r>
              <w:rPr>
                <w:rFonts w:ascii="Times New Roman" w:hAnsi="Times New Roman"/>
                <w:b/>
                <w:sz w:val="22"/>
              </w:rPr>
              <w:t>4.</w:t>
            </w:r>
          </w:p>
        </w:tc>
        <w:tc>
          <w:tcPr>
            <w:tcW w:type="dxa" w:w="3120"/>
          </w:tcPr>
          <w:p>
            <w:pPr>
              <w:jc w:val="left"/>
            </w:pPr>
            <w:r>
              <w:rPr>
                <w:rFonts w:ascii="Times New Roman" w:hAnsi="Times New Roman"/>
                <w:b/>
                <w:sz w:val="22"/>
              </w:rPr>
              <w:t>PROPOSED METHODOLOGY</w:t>
            </w:r>
          </w:p>
        </w:tc>
        <w:tc>
          <w:tcPr>
            <w:tcW w:type="dxa" w:w="3120"/>
          </w:tcPr>
          <w:p>
            <w:pPr>
              <w:jc w:val="right"/>
            </w:pPr>
            <w:r>
              <w:rPr>
                <w:rFonts w:ascii="Times New Roman" w:hAnsi="Times New Roman"/>
                <w:b/>
                <w:sz w:val="22"/>
              </w:rPr>
              <w:t>15</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4.1 Methodology Outline &amp; Architectural Blueprint</w:t>
            </w:r>
          </w:p>
        </w:tc>
        <w:tc>
          <w:tcPr>
            <w:tcW w:type="dxa" w:w="3120"/>
          </w:tcPr>
          <w:p>
            <w:pPr>
              <w:jc w:val="right"/>
            </w:pPr>
            <w:r>
              <w:rPr>
                <w:rFonts w:ascii="Times New Roman" w:hAnsi="Times New Roman"/>
                <w:sz w:val="22"/>
              </w:rPr>
              <w:t>15</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4.2 Tools, Technologies, and Frameworks Used</w:t>
            </w:r>
          </w:p>
        </w:tc>
        <w:tc>
          <w:tcPr>
            <w:tcW w:type="dxa" w:w="3120"/>
          </w:tcPr>
          <w:p>
            <w:pPr>
              <w:jc w:val="right"/>
            </w:pPr>
            <w:r>
              <w:rPr>
                <w:rFonts w:ascii="Times New Roman" w:hAnsi="Times New Roman"/>
                <w:sz w:val="22"/>
              </w:rPr>
              <w:t>16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4.3 Proposed Multi-Tier System Architecture</w:t>
            </w:r>
          </w:p>
        </w:tc>
        <w:tc>
          <w:tcPr>
            <w:tcW w:type="dxa" w:w="3120"/>
          </w:tcPr>
          <w:p>
            <w:pPr>
              <w:jc w:val="right"/>
            </w:pPr>
            <w:r>
              <w:rPr>
                <w:rFonts w:ascii="Times New Roman" w:hAnsi="Times New Roman"/>
                <w:sz w:val="22"/>
              </w:rPr>
              <w:t>17</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4.4 Data Collection, Extraction &amp; Processing Pipeline</w:t>
            </w:r>
          </w:p>
        </w:tc>
        <w:tc>
          <w:tcPr>
            <w:tcW w:type="dxa" w:w="3120"/>
          </w:tcPr>
          <w:p>
            <w:pPr>
              <w:jc w:val="right"/>
            </w:pPr>
            <w:r>
              <w:rPr>
                <w:rFonts w:ascii="Times New Roman" w:hAnsi="Times New Roman"/>
                <w:sz w:val="22"/>
              </w:rPr>
              <w:t>18</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4.5 Data Set &amp; AICTE Curriculum Schema Description</w:t>
            </w:r>
          </w:p>
        </w:tc>
        <w:tc>
          <w:tcPr>
            <w:tcW w:type="dxa" w:w="3120"/>
          </w:tcPr>
          <w:p>
            <w:pPr>
              <w:jc w:val="right"/>
            </w:pPr>
            <w:r>
              <w:rPr>
                <w:rFonts w:ascii="Times New Roman" w:hAnsi="Times New Roman"/>
                <w:sz w:val="22"/>
              </w:rPr>
              <w:t>19</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4.6 Workflow Diagram</w:t>
            </w:r>
          </w:p>
        </w:tc>
        <w:tc>
          <w:tcPr>
            <w:tcW w:type="dxa" w:w="3120"/>
          </w:tcPr>
          <w:p>
            <w:pPr>
              <w:jc w:val="right"/>
            </w:pPr>
            <w:r>
              <w:rPr>
                <w:rFonts w:ascii="Times New Roman" w:hAnsi="Times New Roman"/>
                <w:sz w:val="22"/>
              </w:rPr>
              <w:t>20</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4.7 Chapter Summary</w:t>
            </w:r>
          </w:p>
        </w:tc>
        <w:tc>
          <w:tcPr>
            <w:tcW w:type="dxa" w:w="3120"/>
          </w:tcPr>
          <w:p>
            <w:pPr>
              <w:jc w:val="right"/>
            </w:pPr>
            <w:r>
              <w:rPr>
                <w:rFonts w:ascii="Times New Roman" w:hAnsi="Times New Roman"/>
                <w:sz w:val="22"/>
              </w:rPr>
              <w:t>21</w:t>
            </w:r>
          </w:p>
        </w:tc>
      </w:tr>
      <w:tr>
        <w:tc>
          <w:tcPr>
            <w:tcW w:type="dxa" w:w="3120"/>
          </w:tcPr>
          <w:p>
            <w:pPr>
              <w:jc w:val="left"/>
            </w:pPr>
            <w:r>
              <w:rPr>
                <w:rFonts w:ascii="Times New Roman" w:hAnsi="Times New Roman"/>
                <w:b/>
                <w:sz w:val="22"/>
              </w:rPr>
              <w:t>5.</w:t>
            </w:r>
          </w:p>
        </w:tc>
        <w:tc>
          <w:tcPr>
            <w:tcW w:type="dxa" w:w="3120"/>
          </w:tcPr>
          <w:p>
            <w:pPr>
              <w:jc w:val="left"/>
            </w:pPr>
            <w:r>
              <w:rPr>
                <w:rFonts w:ascii="Times New Roman" w:hAnsi="Times New Roman"/>
                <w:b/>
                <w:sz w:val="22"/>
              </w:rPr>
              <w:t>OBJECTIVES</w:t>
            </w:r>
          </w:p>
        </w:tc>
        <w:tc>
          <w:tcPr>
            <w:tcW w:type="dxa" w:w="3120"/>
          </w:tcPr>
          <w:p>
            <w:pPr>
              <w:jc w:val="right"/>
            </w:pPr>
            <w:r>
              <w:rPr>
                <w:rFonts w:ascii="Times New Roman" w:hAnsi="Times New Roman"/>
                <w:b/>
                <w:sz w:val="22"/>
              </w:rPr>
              <w:t>22</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5.1 Primary Research &amp; Development Objectives</w:t>
            </w:r>
          </w:p>
        </w:tc>
        <w:tc>
          <w:tcPr>
            <w:tcW w:type="dxa" w:w="3120"/>
          </w:tcPr>
          <w:p>
            <w:pPr>
              <w:jc w:val="right"/>
            </w:pPr>
            <w:r>
              <w:rPr>
                <w:rFonts w:ascii="Times New Roman" w:hAnsi="Times New Roman"/>
                <w:sz w:val="22"/>
              </w:rPr>
              <w:t>22</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5.2 Specific Technical Milestones</w:t>
            </w:r>
          </w:p>
        </w:tc>
        <w:tc>
          <w:tcPr>
            <w:tcW w:type="dxa" w:w="3120"/>
          </w:tcPr>
          <w:p>
            <w:pPr>
              <w:jc w:val="right"/>
            </w:pPr>
            <w:r>
              <w:rPr>
                <w:rFonts w:ascii="Times New Roman" w:hAnsi="Times New Roman"/>
                <w:sz w:val="22"/>
              </w:rPr>
              <w:t>22</w:t>
            </w:r>
          </w:p>
        </w:tc>
      </w:tr>
      <w:tr>
        <w:tc>
          <w:tcPr>
            <w:tcW w:type="dxa" w:w="3120"/>
          </w:tcPr>
          <w:p>
            <w:pPr>
              <w:jc w:val="left"/>
            </w:pPr>
            <w:r>
              <w:rPr>
                <w:rFonts w:ascii="Times New Roman" w:hAnsi="Times New Roman"/>
                <w:b/>
                <w:sz w:val="22"/>
              </w:rPr>
              <w:t>6.</w:t>
            </w:r>
          </w:p>
        </w:tc>
        <w:tc>
          <w:tcPr>
            <w:tcW w:type="dxa" w:w="3120"/>
          </w:tcPr>
          <w:p>
            <w:pPr>
              <w:jc w:val="left"/>
            </w:pPr>
            <w:r>
              <w:rPr>
                <w:rFonts w:ascii="Times New Roman" w:hAnsi="Times New Roman"/>
                <w:b/>
                <w:sz w:val="22"/>
              </w:rPr>
              <w:t>SYSTEM DESIGN AND IMPLEMENTATION</w:t>
            </w:r>
          </w:p>
        </w:tc>
        <w:tc>
          <w:tcPr>
            <w:tcW w:type="dxa" w:w="3120"/>
          </w:tcPr>
          <w:p>
            <w:pPr>
              <w:jc w:val="right"/>
            </w:pPr>
            <w:r>
              <w:rPr>
                <w:rFonts w:ascii="Times New Roman" w:hAnsi="Times New Roman"/>
                <w:b/>
                <w:sz w:val="22"/>
              </w:rPr>
              <w:t>23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6.1 Module-Wise Implementation Details</w:t>
            </w:r>
          </w:p>
        </w:tc>
        <w:tc>
          <w:tcPr>
            <w:tcW w:type="dxa" w:w="3120"/>
          </w:tcPr>
          <w:p>
            <w:pPr>
              <w:jc w:val="right"/>
            </w:pPr>
            <w:r>
              <w:rPr>
                <w:rFonts w:ascii="Times New Roman" w:hAnsi="Times New Roman"/>
                <w:sz w:val="22"/>
              </w:rPr>
              <w:t>23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6.1.1 Public Discovery &amp; Catalog Module</w:t>
            </w:r>
          </w:p>
        </w:tc>
        <w:tc>
          <w:tcPr>
            <w:tcW w:type="dxa" w:w="3120"/>
          </w:tcPr>
          <w:p>
            <w:pPr>
              <w:jc w:val="right"/>
            </w:pPr>
            <w:r>
              <w:rPr>
                <w:rFonts w:ascii="Times New Roman" w:hAnsi="Times New Roman"/>
                <w:sz w:val="22"/>
              </w:rPr>
              <w:t>23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6.1.2 Role-Based Access Control &amp; Navigation Guard</w:t>
            </w:r>
          </w:p>
        </w:tc>
        <w:tc>
          <w:tcPr>
            <w:tcW w:type="dxa" w:w="3120"/>
          </w:tcPr>
          <w:p>
            <w:pPr>
              <w:jc w:val="right"/>
            </w:pPr>
            <w:r>
              <w:rPr>
                <w:rFonts w:ascii="Times New Roman" w:hAnsi="Times New Roman"/>
                <w:sz w:val="22"/>
              </w:rPr>
              <w:t>24</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6.1.3 Automated PDF Parser &amp; Text Verification Studio</w:t>
            </w:r>
          </w:p>
        </w:tc>
        <w:tc>
          <w:tcPr>
            <w:tcW w:type="dxa" w:w="3120"/>
          </w:tcPr>
          <w:p>
            <w:pPr>
              <w:jc w:val="right"/>
            </w:pPr>
            <w:r>
              <w:rPr>
                <w:rFonts w:ascii="Times New Roman" w:hAnsi="Times New Roman"/>
                <w:sz w:val="22"/>
              </w:rPr>
              <w:t>25</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6.1.4 Tree Syllabus &amp; 8-Semester Module Editor</w:t>
            </w:r>
          </w:p>
        </w:tc>
        <w:tc>
          <w:tcPr>
            <w:tcW w:type="dxa" w:w="3120"/>
          </w:tcPr>
          <w:p>
            <w:pPr>
              <w:jc w:val="right"/>
            </w:pPr>
            <w:r>
              <w:rPr>
                <w:rFonts w:ascii="Times New Roman" w:hAnsi="Times New Roman"/>
                <w:sz w:val="22"/>
              </w:rPr>
              <w:t>26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6.1.5 AI Benchmark Alignment Matrix Engine</w:t>
            </w:r>
          </w:p>
        </w:tc>
        <w:tc>
          <w:tcPr>
            <w:tcW w:type="dxa" w:w="3120"/>
          </w:tcPr>
          <w:p>
            <w:pPr>
              <w:jc w:val="right"/>
            </w:pPr>
            <w:r>
              <w:rPr>
                <w:rFonts w:ascii="Times New Roman" w:hAnsi="Times New Roman"/>
                <w:sz w:val="22"/>
              </w:rPr>
              <w:t>27</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6.1.6 Skill Competency Visualizer &amp; Diagnostics</w:t>
            </w:r>
          </w:p>
        </w:tc>
        <w:tc>
          <w:tcPr>
            <w:tcW w:type="dxa" w:w="3120"/>
          </w:tcPr>
          <w:p>
            <w:pPr>
              <w:jc w:val="right"/>
            </w:pPr>
            <w:r>
              <w:rPr>
                <w:rFonts w:ascii="Times New Roman" w:hAnsi="Times New Roman"/>
                <w:sz w:val="22"/>
              </w:rPr>
              <w:t>28</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6.1.7 Visual Version Control Revision Diff Engine</w:t>
            </w:r>
          </w:p>
        </w:tc>
        <w:tc>
          <w:tcPr>
            <w:tcW w:type="dxa" w:w="3120"/>
          </w:tcPr>
          <w:p>
            <w:pPr>
              <w:jc w:val="right"/>
            </w:pPr>
            <w:r>
              <w:rPr>
                <w:rFonts w:ascii="Times New Roman" w:hAnsi="Times New Roman"/>
                <w:sz w:val="22"/>
              </w:rPr>
              <w:t>29</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 xml:space="preserve">   6.1.8 Accreditation Audit Report Exporter</w:t>
            </w:r>
          </w:p>
        </w:tc>
        <w:tc>
          <w:tcPr>
            <w:tcW w:type="dxa" w:w="3120"/>
          </w:tcPr>
          <w:p>
            <w:pPr>
              <w:jc w:val="right"/>
            </w:pPr>
            <w:r>
              <w:rPr>
                <w:rFonts w:ascii="Times New Roman" w:hAnsi="Times New Roman"/>
                <w:sz w:val="22"/>
              </w:rPr>
              <w:t>30</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6.2 Algorithmic Models &amp; Mathematical Formulations</w:t>
            </w:r>
          </w:p>
        </w:tc>
        <w:tc>
          <w:tcPr>
            <w:tcW w:type="dxa" w:w="3120"/>
          </w:tcPr>
          <w:p>
            <w:pPr>
              <w:jc w:val="right"/>
            </w:pPr>
            <w:r>
              <w:rPr>
                <w:rFonts w:ascii="Times New Roman" w:hAnsi="Times New Roman"/>
                <w:sz w:val="22"/>
              </w:rPr>
              <w:t>31</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6.3 Component Integration &amp; State Management</w:t>
            </w:r>
          </w:p>
        </w:tc>
        <w:tc>
          <w:tcPr>
            <w:tcW w:type="dxa" w:w="3120"/>
          </w:tcPr>
          <w:p>
            <w:pPr>
              <w:jc w:val="right"/>
            </w:pPr>
            <w:r>
              <w:rPr>
                <w:rFonts w:ascii="Times New Roman" w:hAnsi="Times New Roman"/>
                <w:sz w:val="22"/>
              </w:rPr>
              <w:t>32</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6.4 Chapter Summary</w:t>
            </w:r>
          </w:p>
        </w:tc>
        <w:tc>
          <w:tcPr>
            <w:tcW w:type="dxa" w:w="3120"/>
          </w:tcPr>
          <w:p>
            <w:pPr>
              <w:jc w:val="right"/>
            </w:pPr>
            <w:r>
              <w:rPr>
                <w:rFonts w:ascii="Times New Roman" w:hAnsi="Times New Roman"/>
                <w:sz w:val="22"/>
              </w:rPr>
              <w:t>33</w:t>
            </w:r>
          </w:p>
        </w:tc>
      </w:tr>
      <w:tr>
        <w:tc>
          <w:tcPr>
            <w:tcW w:type="dxa" w:w="3120"/>
          </w:tcPr>
          <w:p>
            <w:pPr>
              <w:jc w:val="left"/>
            </w:pPr>
            <w:r>
              <w:rPr>
                <w:rFonts w:ascii="Times New Roman" w:hAnsi="Times New Roman"/>
                <w:b/>
                <w:sz w:val="22"/>
              </w:rPr>
              <w:t>7.</w:t>
            </w:r>
          </w:p>
        </w:tc>
        <w:tc>
          <w:tcPr>
            <w:tcW w:type="dxa" w:w="3120"/>
          </w:tcPr>
          <w:p>
            <w:pPr>
              <w:jc w:val="left"/>
            </w:pPr>
            <w:r>
              <w:rPr>
                <w:rFonts w:ascii="Times New Roman" w:hAnsi="Times New Roman"/>
                <w:b/>
                <w:sz w:val="22"/>
              </w:rPr>
              <w:t>TIMELINE FOR EXECUTION OF PROJECT (GANTT CHART)</w:t>
            </w:r>
          </w:p>
        </w:tc>
        <w:tc>
          <w:tcPr>
            <w:tcW w:type="dxa" w:w="3120"/>
          </w:tcPr>
          <w:p>
            <w:pPr>
              <w:jc w:val="right"/>
            </w:pPr>
            <w:r>
              <w:rPr>
                <w:rFonts w:ascii="Times New Roman" w:hAnsi="Times New Roman"/>
                <w:b/>
                <w:sz w:val="22"/>
              </w:rPr>
              <w:t>34</w:t>
            </w:r>
          </w:p>
        </w:tc>
      </w:tr>
      <w:tr>
        <w:tc>
          <w:tcPr>
            <w:tcW w:type="dxa" w:w="3120"/>
          </w:tcPr>
          <w:p>
            <w:pPr>
              <w:jc w:val="left"/>
            </w:pPr>
            <w:r>
              <w:rPr>
                <w:rFonts w:ascii="Times New Roman" w:hAnsi="Times New Roman"/>
                <w:b/>
                <w:sz w:val="22"/>
              </w:rPr>
              <w:t>8.</w:t>
            </w:r>
          </w:p>
        </w:tc>
        <w:tc>
          <w:tcPr>
            <w:tcW w:type="dxa" w:w="3120"/>
          </w:tcPr>
          <w:p>
            <w:pPr>
              <w:jc w:val="left"/>
            </w:pPr>
            <w:r>
              <w:rPr>
                <w:rFonts w:ascii="Times New Roman" w:hAnsi="Times New Roman"/>
                <w:b/>
                <w:sz w:val="22"/>
              </w:rPr>
              <w:t>OUTCOMES</w:t>
            </w:r>
          </w:p>
        </w:tc>
        <w:tc>
          <w:tcPr>
            <w:tcW w:type="dxa" w:w="3120"/>
          </w:tcPr>
          <w:p>
            <w:pPr>
              <w:jc w:val="right"/>
            </w:pPr>
            <w:r>
              <w:rPr>
                <w:rFonts w:ascii="Times New Roman" w:hAnsi="Times New Roman"/>
                <w:b/>
                <w:sz w:val="22"/>
              </w:rPr>
              <w:t>36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8.1 Achieved Technical Outcomes</w:t>
            </w:r>
          </w:p>
        </w:tc>
        <w:tc>
          <w:tcPr>
            <w:tcW w:type="dxa" w:w="3120"/>
          </w:tcPr>
          <w:p>
            <w:pPr>
              <w:jc w:val="right"/>
            </w:pPr>
            <w:r>
              <w:rPr>
                <w:rFonts w:ascii="Times New Roman" w:hAnsi="Times New Roman"/>
                <w:sz w:val="22"/>
              </w:rPr>
              <w:t>36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8.2 Regulatory &amp; Institutional Outcomes</w:t>
            </w:r>
          </w:p>
        </w:tc>
        <w:tc>
          <w:tcPr>
            <w:tcW w:type="dxa" w:w="3120"/>
          </w:tcPr>
          <w:p>
            <w:pPr>
              <w:jc w:val="right"/>
            </w:pPr>
            <w:r>
              <w:rPr>
                <w:rFonts w:ascii="Times New Roman" w:hAnsi="Times New Roman"/>
                <w:sz w:val="22"/>
              </w:rPr>
              <w:t>37</w:t>
            </w:r>
          </w:p>
        </w:tc>
      </w:tr>
      <w:tr>
        <w:tc>
          <w:tcPr>
            <w:tcW w:type="dxa" w:w="3120"/>
          </w:tcPr>
          <w:p>
            <w:pPr>
              <w:jc w:val="left"/>
            </w:pPr>
            <w:r>
              <w:rPr>
                <w:rFonts w:ascii="Times New Roman" w:hAnsi="Times New Roman"/>
                <w:b/>
                <w:sz w:val="22"/>
              </w:rPr>
              <w:t>9.</w:t>
            </w:r>
          </w:p>
        </w:tc>
        <w:tc>
          <w:tcPr>
            <w:tcW w:type="dxa" w:w="3120"/>
          </w:tcPr>
          <w:p>
            <w:pPr>
              <w:jc w:val="left"/>
            </w:pPr>
            <w:r>
              <w:rPr>
                <w:rFonts w:ascii="Times New Roman" w:hAnsi="Times New Roman"/>
                <w:b/>
                <w:sz w:val="22"/>
              </w:rPr>
              <w:t>RESULTS AND DISCUSSIONS</w:t>
            </w:r>
          </w:p>
        </w:tc>
        <w:tc>
          <w:tcPr>
            <w:tcW w:type="dxa" w:w="3120"/>
          </w:tcPr>
          <w:p>
            <w:pPr>
              <w:jc w:val="right"/>
            </w:pPr>
            <w:r>
              <w:rPr>
                <w:rFonts w:ascii="Times New Roman" w:hAnsi="Times New Roman"/>
                <w:b/>
                <w:sz w:val="22"/>
              </w:rPr>
              <w:t>38</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9.1 Experimental Setup and Execution Environment</w:t>
            </w:r>
          </w:p>
        </w:tc>
        <w:tc>
          <w:tcPr>
            <w:tcW w:type="dxa" w:w="3120"/>
          </w:tcPr>
          <w:p>
            <w:pPr>
              <w:jc w:val="right"/>
            </w:pPr>
            <w:r>
              <w:rPr>
                <w:rFonts w:ascii="Times New Roman" w:hAnsi="Times New Roman"/>
                <w:sz w:val="22"/>
              </w:rPr>
              <w:t>38</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9.2 Performance Metrics &amp; Workflow Efficiency Gains</w:t>
            </w:r>
          </w:p>
        </w:tc>
        <w:tc>
          <w:tcPr>
            <w:tcW w:type="dxa" w:w="3120"/>
          </w:tcPr>
          <w:p>
            <w:pPr>
              <w:jc w:val="right"/>
            </w:pPr>
            <w:r>
              <w:rPr>
                <w:rFonts w:ascii="Times New Roman" w:hAnsi="Times New Roman"/>
                <w:sz w:val="22"/>
              </w:rPr>
              <w:t>38</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9.3 Skill Gap Identification Accuracy</w:t>
            </w:r>
          </w:p>
        </w:tc>
        <w:tc>
          <w:tcPr>
            <w:tcW w:type="dxa" w:w="3120"/>
          </w:tcPr>
          <w:p>
            <w:pPr>
              <w:jc w:val="right"/>
            </w:pPr>
            <w:r>
              <w:rPr>
                <w:rFonts w:ascii="Times New Roman" w:hAnsi="Times New Roman"/>
                <w:sz w:val="22"/>
              </w:rPr>
              <w:t>40</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9.4 Comparative Analysis with Conventional Systems</w:t>
            </w:r>
          </w:p>
        </w:tc>
        <w:tc>
          <w:tcPr>
            <w:tcW w:type="dxa" w:w="3120"/>
          </w:tcPr>
          <w:p>
            <w:pPr>
              <w:jc w:val="right"/>
            </w:pPr>
            <w:r>
              <w:rPr>
                <w:rFonts w:ascii="Times New Roman" w:hAnsi="Times New Roman"/>
                <w:sz w:val="22"/>
              </w:rPr>
              <w:t>41</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9.5 Summary of Findings</w:t>
            </w:r>
          </w:p>
        </w:tc>
        <w:tc>
          <w:tcPr>
            <w:tcW w:type="dxa" w:w="3120"/>
          </w:tcPr>
          <w:p>
            <w:pPr>
              <w:jc w:val="right"/>
            </w:pPr>
            <w:r>
              <w:rPr>
                <w:rFonts w:ascii="Times New Roman" w:hAnsi="Times New Roman"/>
                <w:sz w:val="22"/>
              </w:rPr>
              <w:t>42</w:t>
            </w:r>
          </w:p>
        </w:tc>
      </w:tr>
      <w:tr>
        <w:tc>
          <w:tcPr>
            <w:tcW w:type="dxa" w:w="3120"/>
          </w:tcPr>
          <w:p>
            <w:pPr>
              <w:jc w:val="left"/>
            </w:pPr>
            <w:r>
              <w:rPr>
                <w:rFonts w:ascii="Times New Roman" w:hAnsi="Times New Roman"/>
                <w:b/>
                <w:sz w:val="22"/>
              </w:rPr>
              <w:t>10.</w:t>
            </w:r>
          </w:p>
        </w:tc>
        <w:tc>
          <w:tcPr>
            <w:tcW w:type="dxa" w:w="3120"/>
          </w:tcPr>
          <w:p>
            <w:pPr>
              <w:jc w:val="left"/>
            </w:pPr>
            <w:r>
              <w:rPr>
                <w:rFonts w:ascii="Times New Roman" w:hAnsi="Times New Roman"/>
                <w:b/>
                <w:sz w:val="22"/>
              </w:rPr>
              <w:t>CONCLUSION AND FUTURE WORK</w:t>
            </w:r>
          </w:p>
        </w:tc>
        <w:tc>
          <w:tcPr>
            <w:tcW w:type="dxa" w:w="3120"/>
          </w:tcPr>
          <w:p>
            <w:pPr>
              <w:jc w:val="right"/>
            </w:pPr>
            <w:r>
              <w:rPr>
                <w:rFonts w:ascii="Times New Roman" w:hAnsi="Times New Roman"/>
                <w:b/>
                <w:sz w:val="22"/>
              </w:rPr>
              <w:t>43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10.1 Summary of Contributions</w:t>
            </w:r>
          </w:p>
        </w:tc>
        <w:tc>
          <w:tcPr>
            <w:tcW w:type="dxa" w:w="3120"/>
          </w:tcPr>
          <w:p>
            <w:pPr>
              <w:jc w:val="right"/>
            </w:pPr>
            <w:r>
              <w:rPr>
                <w:rFonts w:ascii="Times New Roman" w:hAnsi="Times New Roman"/>
                <w:sz w:val="22"/>
              </w:rPr>
              <w:t>43</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10.2 Practical Limitations of the Current Study</w:t>
            </w:r>
          </w:p>
        </w:tc>
        <w:tc>
          <w:tcPr>
            <w:tcW w:type="dxa" w:w="3120"/>
          </w:tcPr>
          <w:p>
            <w:pPr>
              <w:jc w:val="right"/>
            </w:pPr>
            <w:r>
              <w:rPr>
                <w:rFonts w:ascii="Times New Roman" w:hAnsi="Times New Roman"/>
                <w:sz w:val="22"/>
              </w:rPr>
              <w:t>44</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10.3 Suggestions for Future Enhancements</w:t>
            </w:r>
          </w:p>
        </w:tc>
        <w:tc>
          <w:tcPr>
            <w:tcW w:type="dxa" w:w="3120"/>
          </w:tcPr>
          <w:p>
            <w:pPr>
              <w:jc w:val="right"/>
            </w:pPr>
            <w:r>
              <w:rPr>
                <w:rFonts w:ascii="Times New Roman" w:hAnsi="Times New Roman"/>
                <w:sz w:val="22"/>
              </w:rPr>
              <w:t>44</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REFERENCES</w:t>
            </w:r>
          </w:p>
        </w:tc>
        <w:tc>
          <w:tcPr>
            <w:tcW w:type="dxa" w:w="3120"/>
          </w:tcPr>
          <w:p>
            <w:pPr>
              <w:jc w:val="right"/>
            </w:pPr>
            <w:r>
              <w:rPr>
                <w:rFonts w:ascii="Times New Roman" w:hAnsi="Times New Roman"/>
                <w:sz w:val="22"/>
              </w:rPr>
              <w:t>46</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APPENDIX-A: PSEUDOCODE &amp; ALGORITHMIC SPECIFICATIONS</w:t>
            </w:r>
          </w:p>
        </w:tc>
        <w:tc>
          <w:tcPr>
            <w:tcW w:type="dxa" w:w="3120"/>
          </w:tcPr>
          <w:p>
            <w:pPr>
              <w:jc w:val="right"/>
            </w:pPr>
            <w:r>
              <w:rPr>
                <w:rFonts w:ascii="Times New Roman" w:hAnsi="Times New Roman"/>
                <w:sz w:val="22"/>
              </w:rPr>
              <w:t>49</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APPENDIX-B: SYSTEM USER INTERFACE SCREENSHOTS</w:t>
            </w:r>
          </w:p>
        </w:tc>
        <w:tc>
          <w:tcPr>
            <w:tcW w:type="dxa" w:w="3120"/>
          </w:tcPr>
          <w:p>
            <w:pPr>
              <w:jc w:val="right"/>
            </w:pPr>
            <w:r>
              <w:rPr>
                <w:rFonts w:ascii="Times New Roman" w:hAnsi="Times New Roman"/>
                <w:sz w:val="22"/>
              </w:rPr>
              <w:t>52</w:t>
            </w:r>
          </w:p>
        </w:tc>
      </w:tr>
      <w:tr>
        <w:tc>
          <w:tcPr>
            <w:tcW w:type="dxa" w:w="3120"/>
          </w:tcPr>
          <w:p>
            <w:pPr>
              <w:jc w:val="left"/>
            </w:pPr>
            <w:r>
              <w:rPr>
                <w:rFonts w:ascii="Times New Roman" w:hAnsi="Times New Roman"/>
                <w:sz w:val="22"/>
              </w:rPr>
            </w:r>
          </w:p>
        </w:tc>
        <w:tc>
          <w:tcPr>
            <w:tcW w:type="dxa" w:w="3120"/>
          </w:tcPr>
          <w:p>
            <w:pPr>
              <w:jc w:val="left"/>
            </w:pPr>
            <w:r>
              <w:rPr>
                <w:rFonts w:ascii="Times New Roman" w:hAnsi="Times New Roman"/>
                <w:sz w:val="22"/>
              </w:rPr>
              <w:t>APPENDIX-C: ENCLOSURES &amp; SDG 9 COMPLIANCE</w:t>
            </w:r>
          </w:p>
        </w:tc>
        <w:tc>
          <w:tcPr>
            <w:tcW w:type="dxa" w:w="3120"/>
          </w:tcPr>
          <w:p>
            <w:pPr>
              <w:jc w:val="right"/>
            </w:pPr>
            <w:r>
              <w:rPr>
                <w:rFonts w:ascii="Times New Roman" w:hAnsi="Times New Roman"/>
                <w:sz w:val="22"/>
              </w:rPr>
              <w:t>56</w:t>
            </w:r>
          </w:p>
        </w:tc>
      </w:tr>
    </w:tbl>
    <w:p>
      <w:r>
        <w:br w:type="page"/>
      </w:r>
    </w:p>
    <w:p>
      <w:pPr>
        <w:jc w:val="center"/>
      </w:pPr>
      <w:r>
        <w:rPr>
          <w:rFonts w:ascii="Times New Roman" w:hAnsi="Times New Roman"/>
          <w:b/>
          <w:sz w:val="36"/>
        </w:rPr>
        <w:t>LIST OF FIGURES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Pr>
          <w:p>
            <w:r>
              <w:rPr>
                <w:b/>
              </w:rPr>
              <w:t>Sl. No.</w:t>
            </w:r>
          </w:p>
        </w:tc>
        <w:tc>
          <w:tcPr>
            <w:tcW w:type="dxa" w:w="3120"/>
          </w:tcPr>
          <w:p>
            <w:r>
              <w:rPr>
                <w:b/>
              </w:rPr>
              <w:t>Figure Name &amp; Caption</w:t>
            </w:r>
          </w:p>
        </w:tc>
        <w:tc>
          <w:tcPr>
            <w:tcW w:type="dxa" w:w="3120"/>
          </w:tcPr>
          <w:p>
            <w:r>
              <w:rPr>
                <w:b/>
              </w:rPr>
              <w:t>Page No.</w:t>
            </w:r>
          </w:p>
        </w:tc>
      </w:tr>
      <w:tr>
        <w:tc>
          <w:tcPr>
            <w:tcW w:type="dxa" w:w="3120"/>
          </w:tcPr>
          <w:p>
            <w:pPr>
              <w:jc w:val="left"/>
            </w:pPr>
            <w:r>
              <w:rPr>
                <w:rFonts w:ascii="Times New Roman" w:hAnsi="Times New Roman"/>
                <w:sz w:val="22"/>
              </w:rPr>
              <w:t>1</w:t>
            </w:r>
          </w:p>
        </w:tc>
        <w:tc>
          <w:tcPr>
            <w:tcW w:type="dxa" w:w="3120"/>
          </w:tcPr>
          <w:p>
            <w:pPr>
              <w:jc w:val="left"/>
            </w:pPr>
            <w:r>
              <w:rPr>
                <w:rFonts w:ascii="Times New Roman" w:hAnsi="Times New Roman"/>
                <w:sz w:val="22"/>
              </w:rPr>
              <w:t>Figure 4.1: System Architecture Design Flow Diagram</w:t>
            </w:r>
          </w:p>
        </w:tc>
        <w:tc>
          <w:tcPr>
            <w:tcW w:type="dxa" w:w="3120"/>
          </w:tcPr>
          <w:p>
            <w:pPr>
              <w:jc w:val="right"/>
            </w:pPr>
            <w:r>
              <w:rPr>
                <w:rFonts w:ascii="Times New Roman" w:hAnsi="Times New Roman"/>
                <w:sz w:val="22"/>
              </w:rPr>
              <w:t>17</w:t>
            </w:r>
          </w:p>
        </w:tc>
      </w:tr>
      <w:tr>
        <w:tc>
          <w:tcPr>
            <w:tcW w:type="dxa" w:w="3120"/>
          </w:tcPr>
          <w:p>
            <w:pPr>
              <w:jc w:val="left"/>
            </w:pPr>
            <w:r>
              <w:rPr>
                <w:rFonts w:ascii="Times New Roman" w:hAnsi="Times New Roman"/>
                <w:sz w:val="22"/>
              </w:rPr>
              <w:t>2</w:t>
            </w:r>
          </w:p>
        </w:tc>
        <w:tc>
          <w:tcPr>
            <w:tcW w:type="dxa" w:w="3120"/>
          </w:tcPr>
          <w:p>
            <w:pPr>
              <w:jc w:val="left"/>
            </w:pPr>
            <w:r>
              <w:rPr>
                <w:rFonts w:ascii="Times New Roman" w:hAnsi="Times New Roman"/>
                <w:sz w:val="22"/>
              </w:rPr>
              <w:t>Figure 4.2: Hierarchical Model Data Schema Definition (JSON)</w:t>
            </w:r>
          </w:p>
        </w:tc>
        <w:tc>
          <w:tcPr>
            <w:tcW w:type="dxa" w:w="3120"/>
          </w:tcPr>
          <w:p>
            <w:pPr>
              <w:jc w:val="right"/>
            </w:pPr>
            <w:r>
              <w:rPr>
                <w:rFonts w:ascii="Times New Roman" w:hAnsi="Times New Roman"/>
                <w:sz w:val="22"/>
              </w:rPr>
              <w:t>19</w:t>
            </w:r>
          </w:p>
        </w:tc>
      </w:tr>
      <w:tr>
        <w:tc>
          <w:tcPr>
            <w:tcW w:type="dxa" w:w="3120"/>
          </w:tcPr>
          <w:p>
            <w:pPr>
              <w:jc w:val="left"/>
            </w:pPr>
            <w:r>
              <w:rPr>
                <w:rFonts w:ascii="Times New Roman" w:hAnsi="Times New Roman"/>
                <w:sz w:val="22"/>
              </w:rPr>
              <w:t>3</w:t>
            </w:r>
          </w:p>
        </w:tc>
        <w:tc>
          <w:tcPr>
            <w:tcW w:type="dxa" w:w="3120"/>
          </w:tcPr>
          <w:p>
            <w:pPr>
              <w:jc w:val="left"/>
            </w:pPr>
            <w:r>
              <w:rPr>
                <w:rFonts w:ascii="Times New Roman" w:hAnsi="Times New Roman"/>
                <w:sz w:val="22"/>
              </w:rPr>
              <w:t>Figure 4.3: End-to-End Curriculum Lifecycle Workflow Diagram</w:t>
            </w:r>
          </w:p>
        </w:tc>
        <w:tc>
          <w:tcPr>
            <w:tcW w:type="dxa" w:w="3120"/>
          </w:tcPr>
          <w:p>
            <w:pPr>
              <w:jc w:val="right"/>
            </w:pPr>
            <w:r>
              <w:rPr>
                <w:rFonts w:ascii="Times New Roman" w:hAnsi="Times New Roman"/>
                <w:sz w:val="22"/>
              </w:rPr>
              <w:t>20</w:t>
            </w:r>
          </w:p>
        </w:tc>
      </w:tr>
      <w:tr>
        <w:tc>
          <w:tcPr>
            <w:tcW w:type="dxa" w:w="3120"/>
          </w:tcPr>
          <w:p>
            <w:pPr>
              <w:jc w:val="left"/>
            </w:pPr>
            <w:r>
              <w:rPr>
                <w:rFonts w:ascii="Times New Roman" w:hAnsi="Times New Roman"/>
                <w:sz w:val="22"/>
              </w:rPr>
              <w:t>4</w:t>
            </w:r>
          </w:p>
        </w:tc>
        <w:tc>
          <w:tcPr>
            <w:tcW w:type="dxa" w:w="3120"/>
          </w:tcPr>
          <w:p>
            <w:pPr>
              <w:jc w:val="left"/>
            </w:pPr>
            <w:r>
              <w:rPr>
                <w:rFonts w:ascii="Times New Roman" w:hAnsi="Times New Roman"/>
                <w:sz w:val="22"/>
              </w:rPr>
              <w:t>Figure 6.1: Public Catalog and Open Program Browsing Interface</w:t>
            </w:r>
          </w:p>
        </w:tc>
        <w:tc>
          <w:tcPr>
            <w:tcW w:type="dxa" w:w="3120"/>
          </w:tcPr>
          <w:p>
            <w:pPr>
              <w:jc w:val="right"/>
            </w:pPr>
            <w:r>
              <w:rPr>
                <w:rFonts w:ascii="Times New Roman" w:hAnsi="Times New Roman"/>
                <w:sz w:val="22"/>
              </w:rPr>
              <w:t>23</w:t>
            </w:r>
          </w:p>
        </w:tc>
      </w:tr>
      <w:tr>
        <w:tc>
          <w:tcPr>
            <w:tcW w:type="dxa" w:w="3120"/>
          </w:tcPr>
          <w:p>
            <w:pPr>
              <w:jc w:val="left"/>
            </w:pPr>
            <w:r>
              <w:rPr>
                <w:rFonts w:ascii="Times New Roman" w:hAnsi="Times New Roman"/>
                <w:sz w:val="22"/>
              </w:rPr>
              <w:t>5</w:t>
            </w:r>
          </w:p>
        </w:tc>
        <w:tc>
          <w:tcPr>
            <w:tcW w:type="dxa" w:w="3120"/>
          </w:tcPr>
          <w:p>
            <w:pPr>
              <w:jc w:val="left"/>
            </w:pPr>
            <w:r>
              <w:rPr>
                <w:rFonts w:ascii="Times New Roman" w:hAnsi="Times New Roman"/>
                <w:sz w:val="22"/>
              </w:rPr>
              <w:t>Figure 6.2: Role-Based Sign In Interface and Adaptive Workspace</w:t>
            </w:r>
          </w:p>
        </w:tc>
        <w:tc>
          <w:tcPr>
            <w:tcW w:type="dxa" w:w="3120"/>
          </w:tcPr>
          <w:p>
            <w:pPr>
              <w:jc w:val="right"/>
            </w:pPr>
            <w:r>
              <w:rPr>
                <w:rFonts w:ascii="Times New Roman" w:hAnsi="Times New Roman"/>
                <w:sz w:val="22"/>
              </w:rPr>
              <w:t>24</w:t>
            </w:r>
          </w:p>
        </w:tc>
      </w:tr>
      <w:tr>
        <w:tc>
          <w:tcPr>
            <w:tcW w:type="dxa" w:w="3120"/>
          </w:tcPr>
          <w:p>
            <w:pPr>
              <w:jc w:val="left"/>
            </w:pPr>
            <w:r>
              <w:rPr>
                <w:rFonts w:ascii="Times New Roman" w:hAnsi="Times New Roman"/>
                <w:sz w:val="22"/>
              </w:rPr>
              <w:t>6</w:t>
            </w:r>
          </w:p>
        </w:tc>
        <w:tc>
          <w:tcPr>
            <w:tcW w:type="dxa" w:w="3120"/>
          </w:tcPr>
          <w:p>
            <w:pPr>
              <w:jc w:val="left"/>
            </w:pPr>
            <w:r>
              <w:rPr>
                <w:rFonts w:ascii="Times New Roman" w:hAnsi="Times New Roman"/>
                <w:sz w:val="22"/>
              </w:rPr>
              <w:t>Figure 6.3: Side-by-Side PDF Upload and Structured Extraction Viewer</w:t>
            </w:r>
          </w:p>
        </w:tc>
        <w:tc>
          <w:tcPr>
            <w:tcW w:type="dxa" w:w="3120"/>
          </w:tcPr>
          <w:p>
            <w:pPr>
              <w:jc w:val="right"/>
            </w:pPr>
            <w:r>
              <w:rPr>
                <w:rFonts w:ascii="Times New Roman" w:hAnsi="Times New Roman"/>
                <w:sz w:val="22"/>
              </w:rPr>
              <w:t>25</w:t>
            </w:r>
          </w:p>
        </w:tc>
      </w:tr>
      <w:tr>
        <w:tc>
          <w:tcPr>
            <w:tcW w:type="dxa" w:w="3120"/>
          </w:tcPr>
          <w:p>
            <w:pPr>
              <w:jc w:val="left"/>
            </w:pPr>
            <w:r>
              <w:rPr>
                <w:rFonts w:ascii="Times New Roman" w:hAnsi="Times New Roman"/>
                <w:sz w:val="22"/>
              </w:rPr>
              <w:t>7</w:t>
            </w:r>
          </w:p>
        </w:tc>
        <w:tc>
          <w:tcPr>
            <w:tcW w:type="dxa" w:w="3120"/>
          </w:tcPr>
          <w:p>
            <w:pPr>
              <w:jc w:val="left"/>
            </w:pPr>
            <w:r>
              <w:rPr>
                <w:rFonts w:ascii="Times New Roman" w:hAnsi="Times New Roman"/>
                <w:sz w:val="22"/>
              </w:rPr>
              <w:t>Figure 6.4: Interactive Tree Syllabus and Module Authoring Editor</w:t>
            </w:r>
          </w:p>
        </w:tc>
        <w:tc>
          <w:tcPr>
            <w:tcW w:type="dxa" w:w="3120"/>
          </w:tcPr>
          <w:p>
            <w:pPr>
              <w:jc w:val="right"/>
            </w:pPr>
            <w:r>
              <w:rPr>
                <w:rFonts w:ascii="Times New Roman" w:hAnsi="Times New Roman"/>
                <w:sz w:val="22"/>
              </w:rPr>
              <w:t>26</w:t>
            </w:r>
          </w:p>
        </w:tc>
      </w:tr>
      <w:tr>
        <w:tc>
          <w:tcPr>
            <w:tcW w:type="dxa" w:w="3120"/>
          </w:tcPr>
          <w:p>
            <w:pPr>
              <w:jc w:val="left"/>
            </w:pPr>
            <w:r>
              <w:rPr>
                <w:rFonts w:ascii="Times New Roman" w:hAnsi="Times New Roman"/>
                <w:sz w:val="22"/>
              </w:rPr>
              <w:t>8</w:t>
            </w:r>
          </w:p>
        </w:tc>
        <w:tc>
          <w:tcPr>
            <w:tcW w:type="dxa" w:w="3120"/>
          </w:tcPr>
          <w:p>
            <w:pPr>
              <w:jc w:val="left"/>
            </w:pPr>
            <w:r>
              <w:rPr>
                <w:rFonts w:ascii="Times New Roman" w:hAnsi="Times New Roman"/>
                <w:sz w:val="22"/>
              </w:rPr>
              <w:t>Figure 6.5: AI Benchmark Alignment Matrix &amp; Topic Breakdown Modal</w:t>
            </w:r>
          </w:p>
        </w:tc>
        <w:tc>
          <w:tcPr>
            <w:tcW w:type="dxa" w:w="3120"/>
          </w:tcPr>
          <w:p>
            <w:pPr>
              <w:jc w:val="right"/>
            </w:pPr>
            <w:r>
              <w:rPr>
                <w:rFonts w:ascii="Times New Roman" w:hAnsi="Times New Roman"/>
                <w:sz w:val="22"/>
              </w:rPr>
              <w:t>27</w:t>
            </w:r>
          </w:p>
        </w:tc>
      </w:tr>
      <w:tr>
        <w:tc>
          <w:tcPr>
            <w:tcW w:type="dxa" w:w="3120"/>
          </w:tcPr>
          <w:p>
            <w:pPr>
              <w:jc w:val="left"/>
            </w:pPr>
            <w:r>
              <w:rPr>
                <w:rFonts w:ascii="Times New Roman" w:hAnsi="Times New Roman"/>
                <w:sz w:val="22"/>
              </w:rPr>
              <w:t>9</w:t>
            </w:r>
          </w:p>
        </w:tc>
        <w:tc>
          <w:tcPr>
            <w:tcW w:type="dxa" w:w="3120"/>
          </w:tcPr>
          <w:p>
            <w:pPr>
              <w:jc w:val="left"/>
            </w:pPr>
            <w:r>
              <w:rPr>
                <w:rFonts w:ascii="Times New Roman" w:hAnsi="Times New Roman"/>
                <w:sz w:val="22"/>
              </w:rPr>
              <w:t>Figure 6.6: Recharts Skill Competency Gap Visualization and Analytics</w:t>
            </w:r>
          </w:p>
        </w:tc>
        <w:tc>
          <w:tcPr>
            <w:tcW w:type="dxa" w:w="3120"/>
          </w:tcPr>
          <w:p>
            <w:pPr>
              <w:jc w:val="right"/>
            </w:pPr>
            <w:r>
              <w:rPr>
                <w:rFonts w:ascii="Times New Roman" w:hAnsi="Times New Roman"/>
                <w:sz w:val="22"/>
              </w:rPr>
              <w:t>28</w:t>
            </w:r>
          </w:p>
        </w:tc>
      </w:tr>
      <w:tr>
        <w:tc>
          <w:tcPr>
            <w:tcW w:type="dxa" w:w="3120"/>
          </w:tcPr>
          <w:p>
            <w:pPr>
              <w:jc w:val="left"/>
            </w:pPr>
            <w:r>
              <w:rPr>
                <w:rFonts w:ascii="Times New Roman" w:hAnsi="Times New Roman"/>
                <w:sz w:val="22"/>
              </w:rPr>
              <w:t>10</w:t>
            </w:r>
          </w:p>
        </w:tc>
        <w:tc>
          <w:tcPr>
            <w:tcW w:type="dxa" w:w="3120"/>
          </w:tcPr>
          <w:p>
            <w:pPr>
              <w:jc w:val="left"/>
            </w:pPr>
            <w:r>
              <w:rPr>
                <w:rFonts w:ascii="Times New Roman" w:hAnsi="Times New Roman"/>
                <w:sz w:val="22"/>
              </w:rPr>
              <w:t>Figure 6.7: Visual Side-by-Side Version Revision Delta Diff Engine</w:t>
            </w:r>
          </w:p>
        </w:tc>
        <w:tc>
          <w:tcPr>
            <w:tcW w:type="dxa" w:w="3120"/>
          </w:tcPr>
          <w:p>
            <w:pPr>
              <w:jc w:val="right"/>
            </w:pPr>
            <w:r>
              <w:rPr>
                <w:rFonts w:ascii="Times New Roman" w:hAnsi="Times New Roman"/>
                <w:sz w:val="22"/>
              </w:rPr>
              <w:t>29</w:t>
            </w:r>
          </w:p>
        </w:tc>
      </w:tr>
      <w:tr>
        <w:tc>
          <w:tcPr>
            <w:tcW w:type="dxa" w:w="3120"/>
          </w:tcPr>
          <w:p>
            <w:pPr>
              <w:jc w:val="left"/>
            </w:pPr>
            <w:r>
              <w:rPr>
                <w:rFonts w:ascii="Times New Roman" w:hAnsi="Times New Roman"/>
                <w:sz w:val="22"/>
              </w:rPr>
              <w:t>11</w:t>
            </w:r>
          </w:p>
        </w:tc>
        <w:tc>
          <w:tcPr>
            <w:tcW w:type="dxa" w:w="3120"/>
          </w:tcPr>
          <w:p>
            <w:pPr>
              <w:jc w:val="left"/>
            </w:pPr>
            <w:r>
              <w:rPr>
                <w:rFonts w:ascii="Times New Roman" w:hAnsi="Times New Roman"/>
                <w:sz w:val="22"/>
              </w:rPr>
              <w:t>Figure 6.8: PDF Compliance Report Export and Accreditation Audit</w:t>
            </w:r>
          </w:p>
        </w:tc>
        <w:tc>
          <w:tcPr>
            <w:tcW w:type="dxa" w:w="3120"/>
          </w:tcPr>
          <w:p>
            <w:pPr>
              <w:jc w:val="right"/>
            </w:pPr>
            <w:r>
              <w:rPr>
                <w:rFonts w:ascii="Times New Roman" w:hAnsi="Times New Roman"/>
                <w:sz w:val="22"/>
              </w:rPr>
              <w:t>30</w:t>
            </w:r>
          </w:p>
        </w:tc>
      </w:tr>
      <w:tr>
        <w:tc>
          <w:tcPr>
            <w:tcW w:type="dxa" w:w="3120"/>
          </w:tcPr>
          <w:p>
            <w:pPr>
              <w:jc w:val="left"/>
            </w:pPr>
            <w:r>
              <w:rPr>
                <w:rFonts w:ascii="Times New Roman" w:hAnsi="Times New Roman"/>
                <w:sz w:val="22"/>
              </w:rPr>
              <w:t>12</w:t>
            </w:r>
          </w:p>
        </w:tc>
        <w:tc>
          <w:tcPr>
            <w:tcW w:type="dxa" w:w="3120"/>
          </w:tcPr>
          <w:p>
            <w:pPr>
              <w:jc w:val="left"/>
            </w:pPr>
            <w:r>
              <w:rPr>
                <w:rFonts w:ascii="Times New Roman" w:hAnsi="Times New Roman"/>
                <w:sz w:val="22"/>
              </w:rPr>
              <w:t>Figure 7.1: Project Execution Gantt Chart Timeline</w:t>
            </w:r>
          </w:p>
        </w:tc>
        <w:tc>
          <w:tcPr>
            <w:tcW w:type="dxa" w:w="3120"/>
          </w:tcPr>
          <w:p>
            <w:pPr>
              <w:jc w:val="right"/>
            </w:pPr>
            <w:r>
              <w:rPr>
                <w:rFonts w:ascii="Times New Roman" w:hAnsi="Times New Roman"/>
                <w:sz w:val="22"/>
              </w:rPr>
              <w:t>35</w:t>
            </w:r>
          </w:p>
        </w:tc>
      </w:tr>
    </w:tbl>
    <w:p>
      <w:r>
        <w:br w:type="page"/>
      </w:r>
    </w:p>
    <w:p>
      <w:pPr>
        <w:jc w:val="center"/>
      </w:pPr>
      <w:r>
        <w:rPr>
          <w:rFonts w:ascii="Times New Roman" w:hAnsi="Times New Roman"/>
          <w:b/>
          <w:sz w:val="36"/>
        </w:rPr>
        <w:t>LIST OF TABLES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Pr>
          <w:p>
            <w:r>
              <w:rPr>
                <w:b/>
              </w:rPr>
              <w:t>Sl. No.</w:t>
            </w:r>
          </w:p>
        </w:tc>
        <w:tc>
          <w:tcPr>
            <w:tcW w:type="dxa" w:w="3120"/>
          </w:tcPr>
          <w:p>
            <w:r>
              <w:rPr>
                <w:b/>
              </w:rPr>
              <w:t>Table Name &amp; Caption</w:t>
            </w:r>
          </w:p>
        </w:tc>
        <w:tc>
          <w:tcPr>
            <w:tcW w:type="dxa" w:w="3120"/>
          </w:tcPr>
          <w:p>
            <w:r>
              <w:rPr>
                <w:b/>
              </w:rPr>
              <w:t>Page No.</w:t>
            </w:r>
          </w:p>
        </w:tc>
      </w:tr>
      <w:tr>
        <w:tc>
          <w:tcPr>
            <w:tcW w:type="dxa" w:w="3120"/>
          </w:tcPr>
          <w:p>
            <w:pPr>
              <w:jc w:val="left"/>
            </w:pPr>
            <w:r>
              <w:rPr>
                <w:rFonts w:ascii="Times New Roman" w:hAnsi="Times New Roman"/>
                <w:sz w:val="22"/>
              </w:rPr>
              <w:t>1</w:t>
            </w:r>
          </w:p>
        </w:tc>
        <w:tc>
          <w:tcPr>
            <w:tcW w:type="dxa" w:w="3120"/>
          </w:tcPr>
          <w:p>
            <w:pPr>
              <w:jc w:val="left"/>
            </w:pPr>
            <w:r>
              <w:rPr>
                <w:rFonts w:ascii="Times New Roman" w:hAnsi="Times New Roman"/>
                <w:sz w:val="22"/>
              </w:rPr>
              <w:t>Table 2.1: Comprehensive Literature Comparison of Curriculum Frameworks</w:t>
            </w:r>
          </w:p>
        </w:tc>
        <w:tc>
          <w:tcPr>
            <w:tcW w:type="dxa" w:w="3120"/>
          </w:tcPr>
          <w:p>
            <w:pPr>
              <w:jc w:val="right"/>
            </w:pPr>
            <w:r>
              <w:rPr>
                <w:rFonts w:ascii="Times New Roman" w:hAnsi="Times New Roman"/>
                <w:sz w:val="22"/>
              </w:rPr>
              <w:t>11</w:t>
            </w:r>
          </w:p>
        </w:tc>
      </w:tr>
      <w:tr>
        <w:tc>
          <w:tcPr>
            <w:tcW w:type="dxa" w:w="3120"/>
          </w:tcPr>
          <w:p>
            <w:pPr>
              <w:jc w:val="left"/>
            </w:pPr>
            <w:r>
              <w:rPr>
                <w:rFonts w:ascii="Times New Roman" w:hAnsi="Times New Roman"/>
                <w:sz w:val="22"/>
              </w:rPr>
              <w:t>2</w:t>
            </w:r>
          </w:p>
        </w:tc>
        <w:tc>
          <w:tcPr>
            <w:tcW w:type="dxa" w:w="3120"/>
          </w:tcPr>
          <w:p>
            <w:pPr>
              <w:jc w:val="left"/>
            </w:pPr>
            <w:r>
              <w:rPr>
                <w:rFonts w:ascii="Times New Roman" w:hAnsi="Times New Roman"/>
                <w:sz w:val="22"/>
              </w:rPr>
              <w:t>Table 4.1: Role-Based Access Control (RBAC) Permission Matrix</w:t>
            </w:r>
          </w:p>
        </w:tc>
        <w:tc>
          <w:tcPr>
            <w:tcW w:type="dxa" w:w="3120"/>
          </w:tcPr>
          <w:p>
            <w:pPr>
              <w:jc w:val="right"/>
            </w:pPr>
            <w:r>
              <w:rPr>
                <w:rFonts w:ascii="Times New Roman" w:hAnsi="Times New Roman"/>
                <w:sz w:val="22"/>
              </w:rPr>
              <w:t>18</w:t>
            </w:r>
          </w:p>
        </w:tc>
      </w:tr>
      <w:tr>
        <w:tc>
          <w:tcPr>
            <w:tcW w:type="dxa" w:w="3120"/>
          </w:tcPr>
          <w:p>
            <w:pPr>
              <w:jc w:val="left"/>
            </w:pPr>
            <w:r>
              <w:rPr>
                <w:rFonts w:ascii="Times New Roman" w:hAnsi="Times New Roman"/>
                <w:sz w:val="22"/>
              </w:rPr>
              <w:t>3</w:t>
            </w:r>
          </w:p>
        </w:tc>
        <w:tc>
          <w:tcPr>
            <w:tcW w:type="dxa" w:w="3120"/>
          </w:tcPr>
          <w:p>
            <w:pPr>
              <w:jc w:val="left"/>
            </w:pPr>
            <w:r>
              <w:rPr>
                <w:rFonts w:ascii="Times New Roman" w:hAnsi="Times New Roman"/>
                <w:sz w:val="22"/>
              </w:rPr>
              <w:t>Table 7.1: Comprehensive Timeline for Execution of Project (Gantt Chart)</w:t>
            </w:r>
          </w:p>
        </w:tc>
        <w:tc>
          <w:tcPr>
            <w:tcW w:type="dxa" w:w="3120"/>
          </w:tcPr>
          <w:p>
            <w:pPr>
              <w:jc w:val="right"/>
            </w:pPr>
            <w:r>
              <w:rPr>
                <w:rFonts w:ascii="Times New Roman" w:hAnsi="Times New Roman"/>
                <w:sz w:val="22"/>
              </w:rPr>
              <w:t>35</w:t>
            </w:r>
          </w:p>
        </w:tc>
      </w:tr>
      <w:tr>
        <w:tc>
          <w:tcPr>
            <w:tcW w:type="dxa" w:w="3120"/>
          </w:tcPr>
          <w:p>
            <w:pPr>
              <w:jc w:val="left"/>
            </w:pPr>
            <w:r>
              <w:rPr>
                <w:rFonts w:ascii="Times New Roman" w:hAnsi="Times New Roman"/>
                <w:sz w:val="22"/>
              </w:rPr>
              <w:t>4</w:t>
            </w:r>
          </w:p>
        </w:tc>
        <w:tc>
          <w:tcPr>
            <w:tcW w:type="dxa" w:w="3120"/>
          </w:tcPr>
          <w:p>
            <w:pPr>
              <w:jc w:val="left"/>
            </w:pPr>
            <w:r>
              <w:rPr>
                <w:rFonts w:ascii="Times New Roman" w:hAnsi="Times New Roman"/>
                <w:sz w:val="22"/>
              </w:rPr>
              <w:t>Table 9.1: Comparison of Manual vs. Automated Curriculum Analysis</w:t>
            </w:r>
          </w:p>
        </w:tc>
        <w:tc>
          <w:tcPr>
            <w:tcW w:type="dxa" w:w="3120"/>
          </w:tcPr>
          <w:p>
            <w:pPr>
              <w:jc w:val="right"/>
            </w:pPr>
            <w:r>
              <w:rPr>
                <w:rFonts w:ascii="Times New Roman" w:hAnsi="Times New Roman"/>
                <w:sz w:val="22"/>
              </w:rPr>
              <w:t>39</w:t>
            </w:r>
          </w:p>
        </w:tc>
      </w:tr>
      <w:tr>
        <w:tc>
          <w:tcPr>
            <w:tcW w:type="dxa" w:w="3120"/>
          </w:tcPr>
          <w:p>
            <w:pPr>
              <w:jc w:val="left"/>
            </w:pPr>
            <w:r>
              <w:rPr>
                <w:rFonts w:ascii="Times New Roman" w:hAnsi="Times New Roman"/>
                <w:sz w:val="22"/>
              </w:rPr>
              <w:t>5</w:t>
            </w:r>
          </w:p>
        </w:tc>
        <w:tc>
          <w:tcPr>
            <w:tcW w:type="dxa" w:w="3120"/>
          </w:tcPr>
          <w:p>
            <w:pPr>
              <w:jc w:val="left"/>
            </w:pPr>
            <w:r>
              <w:rPr>
                <w:rFonts w:ascii="Times New Roman" w:hAnsi="Times New Roman"/>
                <w:sz w:val="22"/>
              </w:rPr>
              <w:t>Table 9.2: Skill Gap Analysis Between Institute Syllabus and AICTE Reference</w:t>
            </w:r>
          </w:p>
        </w:tc>
        <w:tc>
          <w:tcPr>
            <w:tcW w:type="dxa" w:w="3120"/>
          </w:tcPr>
          <w:p>
            <w:pPr>
              <w:jc w:val="right"/>
            </w:pPr>
            <w:r>
              <w:rPr>
                <w:rFonts w:ascii="Times New Roman" w:hAnsi="Times New Roman"/>
                <w:sz w:val="22"/>
              </w:rPr>
              <w:t>40</w:t>
            </w:r>
          </w:p>
        </w:tc>
      </w:tr>
    </w:tbl>
    <w:p>
      <w:r>
        <w:br w:type="page"/>
      </w:r>
    </w:p>
    <w:p>
      <w:pPr>
        <w:jc w:val="center"/>
      </w:pPr>
      <w:r>
        <w:rPr>
          <w:rFonts w:ascii="Times New Roman" w:hAnsi="Times New Roman"/>
          <w:b/>
          <w:sz w:val="36"/>
        </w:rPr>
        <w:t>ABBREVIATIONS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4680"/>
          </w:tcPr>
          <w:p>
            <w:r>
              <w:rPr>
                <w:b/>
              </w:rPr>
              <w:t>Abbreviation</w:t>
            </w:r>
          </w:p>
        </w:tc>
        <w:tc>
          <w:tcPr>
            <w:tcW w:type="dxa" w:w="4680"/>
          </w:tcPr>
          <w:p>
            <w:r>
              <w:rPr>
                <w:b/>
              </w:rPr>
              <w:t>Full Form</w:t>
            </w:r>
          </w:p>
        </w:tc>
      </w:tr>
      <w:tr>
        <w:tc>
          <w:tcPr>
            <w:tcW w:type="dxa" w:w="4680"/>
          </w:tcPr>
          <w:p>
            <w:r>
              <w:rPr>
                <w:rFonts w:ascii="Times New Roman" w:hAnsi="Times New Roman"/>
                <w:b/>
                <w:sz w:val="22"/>
              </w:rPr>
              <w:t>AI</w:t>
            </w:r>
          </w:p>
        </w:tc>
        <w:tc>
          <w:tcPr>
            <w:tcW w:type="dxa" w:w="4680"/>
          </w:tcPr>
          <w:p>
            <w:r>
              <w:rPr>
                <w:rFonts w:ascii="Times New Roman" w:hAnsi="Times New Roman"/>
                <w:sz w:val="22"/>
              </w:rPr>
              <w:t>Artificial Intelligence</w:t>
            </w:r>
          </w:p>
        </w:tc>
      </w:tr>
      <w:tr>
        <w:tc>
          <w:tcPr>
            <w:tcW w:type="dxa" w:w="4680"/>
          </w:tcPr>
          <w:p>
            <w:r>
              <w:rPr>
                <w:rFonts w:ascii="Times New Roman" w:hAnsi="Times New Roman"/>
                <w:b/>
                <w:sz w:val="22"/>
              </w:rPr>
              <w:t>AICTE</w:t>
            </w:r>
          </w:p>
        </w:tc>
        <w:tc>
          <w:tcPr>
            <w:tcW w:type="dxa" w:w="4680"/>
          </w:tcPr>
          <w:p>
            <w:r>
              <w:rPr>
                <w:rFonts w:ascii="Times New Roman" w:hAnsi="Times New Roman"/>
                <w:sz w:val="22"/>
              </w:rPr>
              <w:t>All India Council for Technical Education</w:t>
            </w:r>
          </w:p>
        </w:tc>
      </w:tr>
      <w:tr>
        <w:tc>
          <w:tcPr>
            <w:tcW w:type="dxa" w:w="4680"/>
          </w:tcPr>
          <w:p>
            <w:r>
              <w:rPr>
                <w:rFonts w:ascii="Times New Roman" w:hAnsi="Times New Roman"/>
                <w:b/>
                <w:sz w:val="22"/>
              </w:rPr>
              <w:t>API</w:t>
            </w:r>
          </w:p>
        </w:tc>
        <w:tc>
          <w:tcPr>
            <w:tcW w:type="dxa" w:w="4680"/>
          </w:tcPr>
          <w:p>
            <w:r>
              <w:rPr>
                <w:rFonts w:ascii="Times New Roman" w:hAnsi="Times New Roman"/>
                <w:sz w:val="22"/>
              </w:rPr>
              <w:t>Application Programming Interface</w:t>
            </w:r>
          </w:p>
        </w:tc>
      </w:tr>
      <w:tr>
        <w:tc>
          <w:tcPr>
            <w:tcW w:type="dxa" w:w="4680"/>
          </w:tcPr>
          <w:p>
            <w:r>
              <w:rPr>
                <w:rFonts w:ascii="Times New Roman" w:hAnsi="Times New Roman"/>
                <w:b/>
                <w:sz w:val="22"/>
              </w:rPr>
              <w:t>BoS</w:t>
            </w:r>
          </w:p>
        </w:tc>
        <w:tc>
          <w:tcPr>
            <w:tcW w:type="dxa" w:w="4680"/>
          </w:tcPr>
          <w:p>
            <w:r>
              <w:rPr>
                <w:rFonts w:ascii="Times New Roman" w:hAnsi="Times New Roman"/>
                <w:sz w:val="22"/>
              </w:rPr>
              <w:t>Board of Studies</w:t>
            </w:r>
          </w:p>
        </w:tc>
      </w:tr>
      <w:tr>
        <w:tc>
          <w:tcPr>
            <w:tcW w:type="dxa" w:w="4680"/>
          </w:tcPr>
          <w:p>
            <w:r>
              <w:rPr>
                <w:rFonts w:ascii="Times New Roman" w:hAnsi="Times New Roman"/>
                <w:b/>
                <w:sz w:val="22"/>
              </w:rPr>
              <w:t>CBCS</w:t>
            </w:r>
          </w:p>
        </w:tc>
        <w:tc>
          <w:tcPr>
            <w:tcW w:type="dxa" w:w="4680"/>
          </w:tcPr>
          <w:p>
            <w:r>
              <w:rPr>
                <w:rFonts w:ascii="Times New Roman" w:hAnsi="Times New Roman"/>
                <w:sz w:val="22"/>
              </w:rPr>
              <w:t>Choice-Based Credit System</w:t>
            </w:r>
          </w:p>
        </w:tc>
      </w:tr>
      <w:tr>
        <w:tc>
          <w:tcPr>
            <w:tcW w:type="dxa" w:w="4680"/>
          </w:tcPr>
          <w:p>
            <w:r>
              <w:rPr>
                <w:rFonts w:ascii="Times New Roman" w:hAnsi="Times New Roman"/>
                <w:b/>
                <w:sz w:val="22"/>
              </w:rPr>
              <w:t>CI/CD</w:t>
            </w:r>
          </w:p>
        </w:tc>
        <w:tc>
          <w:tcPr>
            <w:tcW w:type="dxa" w:w="4680"/>
          </w:tcPr>
          <w:p>
            <w:r>
              <w:rPr>
                <w:rFonts w:ascii="Times New Roman" w:hAnsi="Times New Roman"/>
                <w:sz w:val="22"/>
              </w:rPr>
              <w:t>Continuous Integration and Continuous Deployment</w:t>
            </w:r>
          </w:p>
        </w:tc>
      </w:tr>
      <w:tr>
        <w:tc>
          <w:tcPr>
            <w:tcW w:type="dxa" w:w="4680"/>
          </w:tcPr>
          <w:p>
            <w:r>
              <w:rPr>
                <w:rFonts w:ascii="Times New Roman" w:hAnsi="Times New Roman"/>
                <w:b/>
                <w:sz w:val="22"/>
              </w:rPr>
              <w:t>CLO</w:t>
            </w:r>
          </w:p>
        </w:tc>
        <w:tc>
          <w:tcPr>
            <w:tcW w:type="dxa" w:w="4680"/>
          </w:tcPr>
          <w:p>
            <w:r>
              <w:rPr>
                <w:rFonts w:ascii="Times New Roman" w:hAnsi="Times New Roman"/>
                <w:sz w:val="22"/>
              </w:rPr>
              <w:t>Course Learning Outcome</w:t>
            </w:r>
          </w:p>
        </w:tc>
      </w:tr>
      <w:tr>
        <w:tc>
          <w:tcPr>
            <w:tcW w:type="dxa" w:w="4680"/>
          </w:tcPr>
          <w:p>
            <w:r>
              <w:rPr>
                <w:rFonts w:ascii="Times New Roman" w:hAnsi="Times New Roman"/>
                <w:b/>
                <w:sz w:val="22"/>
              </w:rPr>
              <w:t>CO</w:t>
            </w:r>
          </w:p>
        </w:tc>
        <w:tc>
          <w:tcPr>
            <w:tcW w:type="dxa" w:w="4680"/>
          </w:tcPr>
          <w:p>
            <w:r>
              <w:rPr>
                <w:rFonts w:ascii="Times New Roman" w:hAnsi="Times New Roman"/>
                <w:sz w:val="22"/>
              </w:rPr>
              <w:t>Course Outcome</w:t>
            </w:r>
          </w:p>
        </w:tc>
      </w:tr>
      <w:tr>
        <w:tc>
          <w:tcPr>
            <w:tcW w:type="dxa" w:w="4680"/>
          </w:tcPr>
          <w:p>
            <w:r>
              <w:rPr>
                <w:rFonts w:ascii="Times New Roman" w:hAnsi="Times New Roman"/>
                <w:b/>
                <w:sz w:val="22"/>
              </w:rPr>
              <w:t>CQI</w:t>
            </w:r>
          </w:p>
        </w:tc>
        <w:tc>
          <w:tcPr>
            <w:tcW w:type="dxa" w:w="4680"/>
          </w:tcPr>
          <w:p>
            <w:r>
              <w:rPr>
                <w:rFonts w:ascii="Times New Roman" w:hAnsi="Times New Roman"/>
                <w:sz w:val="22"/>
              </w:rPr>
              <w:t>Continuous Quality Improvement</w:t>
            </w:r>
          </w:p>
        </w:tc>
      </w:tr>
      <w:tr>
        <w:tc>
          <w:tcPr>
            <w:tcW w:type="dxa" w:w="4680"/>
          </w:tcPr>
          <w:p>
            <w:r>
              <w:rPr>
                <w:rFonts w:ascii="Times New Roman" w:hAnsi="Times New Roman"/>
                <w:b/>
                <w:sz w:val="22"/>
              </w:rPr>
              <w:t>CSS</w:t>
            </w:r>
          </w:p>
        </w:tc>
        <w:tc>
          <w:tcPr>
            <w:tcW w:type="dxa" w:w="4680"/>
          </w:tcPr>
          <w:p>
            <w:r>
              <w:rPr>
                <w:rFonts w:ascii="Times New Roman" w:hAnsi="Times New Roman"/>
                <w:sz w:val="22"/>
              </w:rPr>
              <w:t>Cascading Style Sheets</w:t>
            </w:r>
          </w:p>
        </w:tc>
      </w:tr>
      <w:tr>
        <w:tc>
          <w:tcPr>
            <w:tcW w:type="dxa" w:w="4680"/>
          </w:tcPr>
          <w:p>
            <w:r>
              <w:rPr>
                <w:rFonts w:ascii="Times New Roman" w:hAnsi="Times New Roman"/>
                <w:b/>
                <w:sz w:val="22"/>
              </w:rPr>
              <w:t>DOM</w:t>
            </w:r>
          </w:p>
        </w:tc>
        <w:tc>
          <w:tcPr>
            <w:tcW w:type="dxa" w:w="4680"/>
          </w:tcPr>
          <w:p>
            <w:r>
              <w:rPr>
                <w:rFonts w:ascii="Times New Roman" w:hAnsi="Times New Roman"/>
                <w:sz w:val="22"/>
              </w:rPr>
              <w:t>Document Object Model</w:t>
            </w:r>
          </w:p>
        </w:tc>
      </w:tr>
      <w:tr>
        <w:tc>
          <w:tcPr>
            <w:tcW w:type="dxa" w:w="4680"/>
          </w:tcPr>
          <w:p>
            <w:r>
              <w:rPr>
                <w:rFonts w:ascii="Times New Roman" w:hAnsi="Times New Roman"/>
                <w:b/>
                <w:sz w:val="22"/>
              </w:rPr>
              <w:t>HITL</w:t>
            </w:r>
          </w:p>
        </w:tc>
        <w:tc>
          <w:tcPr>
            <w:tcW w:type="dxa" w:w="4680"/>
          </w:tcPr>
          <w:p>
            <w:r>
              <w:rPr>
                <w:rFonts w:ascii="Times New Roman" w:hAnsi="Times New Roman"/>
                <w:sz w:val="22"/>
              </w:rPr>
              <w:t>Human-In-The-Loop</w:t>
            </w:r>
          </w:p>
        </w:tc>
      </w:tr>
      <w:tr>
        <w:tc>
          <w:tcPr>
            <w:tcW w:type="dxa" w:w="4680"/>
          </w:tcPr>
          <w:p>
            <w:r>
              <w:rPr>
                <w:rFonts w:ascii="Times New Roman" w:hAnsi="Times New Roman"/>
                <w:b/>
                <w:sz w:val="22"/>
              </w:rPr>
              <w:t>HTML</w:t>
            </w:r>
          </w:p>
        </w:tc>
        <w:tc>
          <w:tcPr>
            <w:tcW w:type="dxa" w:w="4680"/>
          </w:tcPr>
          <w:p>
            <w:r>
              <w:rPr>
                <w:rFonts w:ascii="Times New Roman" w:hAnsi="Times New Roman"/>
                <w:sz w:val="22"/>
              </w:rPr>
              <w:t>HyperText Markup Language</w:t>
            </w:r>
          </w:p>
        </w:tc>
      </w:tr>
      <w:tr>
        <w:tc>
          <w:tcPr>
            <w:tcW w:type="dxa" w:w="4680"/>
          </w:tcPr>
          <w:p>
            <w:r>
              <w:rPr>
                <w:rFonts w:ascii="Times New Roman" w:hAnsi="Times New Roman"/>
                <w:b/>
                <w:sz w:val="22"/>
              </w:rPr>
              <w:t>HTTP</w:t>
            </w:r>
          </w:p>
        </w:tc>
        <w:tc>
          <w:tcPr>
            <w:tcW w:type="dxa" w:w="4680"/>
          </w:tcPr>
          <w:p>
            <w:r>
              <w:rPr>
                <w:rFonts w:ascii="Times New Roman" w:hAnsi="Times New Roman"/>
                <w:sz w:val="22"/>
              </w:rPr>
              <w:t>Hypertext Transfer Protocol</w:t>
            </w:r>
          </w:p>
        </w:tc>
      </w:tr>
      <w:tr>
        <w:tc>
          <w:tcPr>
            <w:tcW w:type="dxa" w:w="4680"/>
          </w:tcPr>
          <w:p>
            <w:r>
              <w:rPr>
                <w:rFonts w:ascii="Times New Roman" w:hAnsi="Times New Roman"/>
                <w:b/>
                <w:sz w:val="22"/>
              </w:rPr>
              <w:t>HTTPS</w:t>
            </w:r>
          </w:p>
        </w:tc>
        <w:tc>
          <w:tcPr>
            <w:tcW w:type="dxa" w:w="4680"/>
          </w:tcPr>
          <w:p>
            <w:r>
              <w:rPr>
                <w:rFonts w:ascii="Times New Roman" w:hAnsi="Times New Roman"/>
                <w:sz w:val="22"/>
              </w:rPr>
              <w:t>Hypertext Transfer Protocol Secure</w:t>
            </w:r>
          </w:p>
        </w:tc>
      </w:tr>
      <w:tr>
        <w:tc>
          <w:tcPr>
            <w:tcW w:type="dxa" w:w="4680"/>
          </w:tcPr>
          <w:p>
            <w:r>
              <w:rPr>
                <w:rFonts w:ascii="Times New Roman" w:hAnsi="Times New Roman"/>
                <w:b/>
                <w:sz w:val="22"/>
              </w:rPr>
              <w:t>IEEE</w:t>
            </w:r>
          </w:p>
        </w:tc>
        <w:tc>
          <w:tcPr>
            <w:tcW w:type="dxa" w:w="4680"/>
          </w:tcPr>
          <w:p>
            <w:r>
              <w:rPr>
                <w:rFonts w:ascii="Times New Roman" w:hAnsi="Times New Roman"/>
                <w:sz w:val="22"/>
              </w:rPr>
              <w:t>Institute of Electrical and Electronics Engineers</w:t>
            </w:r>
          </w:p>
        </w:tc>
      </w:tr>
      <w:tr>
        <w:tc>
          <w:tcPr>
            <w:tcW w:type="dxa" w:w="4680"/>
          </w:tcPr>
          <w:p>
            <w:r>
              <w:rPr>
                <w:rFonts w:ascii="Times New Roman" w:hAnsi="Times New Roman"/>
                <w:b/>
                <w:sz w:val="22"/>
              </w:rPr>
              <w:t>JSON</w:t>
            </w:r>
          </w:p>
        </w:tc>
        <w:tc>
          <w:tcPr>
            <w:tcW w:type="dxa" w:w="4680"/>
          </w:tcPr>
          <w:p>
            <w:r>
              <w:rPr>
                <w:rFonts w:ascii="Times New Roman" w:hAnsi="Times New Roman"/>
                <w:sz w:val="22"/>
              </w:rPr>
              <w:t>JavaScript Object Notation</w:t>
            </w:r>
          </w:p>
        </w:tc>
      </w:tr>
      <w:tr>
        <w:tc>
          <w:tcPr>
            <w:tcW w:type="dxa" w:w="4680"/>
          </w:tcPr>
          <w:p>
            <w:r>
              <w:rPr>
                <w:rFonts w:ascii="Times New Roman" w:hAnsi="Times New Roman"/>
                <w:b/>
                <w:sz w:val="22"/>
              </w:rPr>
              <w:t>JWT</w:t>
            </w:r>
          </w:p>
        </w:tc>
        <w:tc>
          <w:tcPr>
            <w:tcW w:type="dxa" w:w="4680"/>
          </w:tcPr>
          <w:p>
            <w:r>
              <w:rPr>
                <w:rFonts w:ascii="Times New Roman" w:hAnsi="Times New Roman"/>
                <w:sz w:val="22"/>
              </w:rPr>
              <w:t>JSON Web Token</w:t>
            </w:r>
          </w:p>
        </w:tc>
      </w:tr>
      <w:tr>
        <w:tc>
          <w:tcPr>
            <w:tcW w:type="dxa" w:w="4680"/>
          </w:tcPr>
          <w:p>
            <w:r>
              <w:rPr>
                <w:rFonts w:ascii="Times New Roman" w:hAnsi="Times New Roman"/>
                <w:b/>
                <w:sz w:val="22"/>
              </w:rPr>
              <w:t>KSEC</w:t>
            </w:r>
          </w:p>
        </w:tc>
        <w:tc>
          <w:tcPr>
            <w:tcW w:type="dxa" w:w="4680"/>
          </w:tcPr>
          <w:p>
            <w:r>
              <w:rPr>
                <w:rFonts w:ascii="Times New Roman" w:hAnsi="Times New Roman"/>
                <w:sz w:val="22"/>
              </w:rPr>
              <w:t>Knowledge-Skill-Entity-Competency</w:t>
            </w:r>
          </w:p>
        </w:tc>
      </w:tr>
      <w:tr>
        <w:tc>
          <w:tcPr>
            <w:tcW w:type="dxa" w:w="4680"/>
          </w:tcPr>
          <w:p>
            <w:r>
              <w:rPr>
                <w:rFonts w:ascii="Times New Roman" w:hAnsi="Times New Roman"/>
                <w:b/>
                <w:sz w:val="22"/>
              </w:rPr>
              <w:t>L-T-P</w:t>
            </w:r>
          </w:p>
        </w:tc>
        <w:tc>
          <w:tcPr>
            <w:tcW w:type="dxa" w:w="4680"/>
          </w:tcPr>
          <w:p>
            <w:r>
              <w:rPr>
                <w:rFonts w:ascii="Times New Roman" w:hAnsi="Times New Roman"/>
                <w:sz w:val="22"/>
              </w:rPr>
              <w:t>Lecture-Tutorial-Practical Credit Ratio</w:t>
            </w:r>
          </w:p>
        </w:tc>
      </w:tr>
      <w:tr>
        <w:tc>
          <w:tcPr>
            <w:tcW w:type="dxa" w:w="4680"/>
          </w:tcPr>
          <w:p>
            <w:r>
              <w:rPr>
                <w:rFonts w:ascii="Times New Roman" w:hAnsi="Times New Roman"/>
                <w:b/>
                <w:sz w:val="22"/>
              </w:rPr>
              <w:t>ML</w:t>
            </w:r>
          </w:p>
        </w:tc>
        <w:tc>
          <w:tcPr>
            <w:tcW w:type="dxa" w:w="4680"/>
          </w:tcPr>
          <w:p>
            <w:r>
              <w:rPr>
                <w:rFonts w:ascii="Times New Roman" w:hAnsi="Times New Roman"/>
                <w:sz w:val="22"/>
              </w:rPr>
              <w:t>Machine Learning</w:t>
            </w:r>
          </w:p>
        </w:tc>
      </w:tr>
      <w:tr>
        <w:tc>
          <w:tcPr>
            <w:tcW w:type="dxa" w:w="4680"/>
          </w:tcPr>
          <w:p>
            <w:r>
              <w:rPr>
                <w:rFonts w:ascii="Times New Roman" w:hAnsi="Times New Roman"/>
                <w:b/>
                <w:sz w:val="22"/>
              </w:rPr>
              <w:t>MLOps</w:t>
            </w:r>
          </w:p>
        </w:tc>
        <w:tc>
          <w:tcPr>
            <w:tcW w:type="dxa" w:w="4680"/>
          </w:tcPr>
          <w:p>
            <w:r>
              <w:rPr>
                <w:rFonts w:ascii="Times New Roman" w:hAnsi="Times New Roman"/>
                <w:sz w:val="22"/>
              </w:rPr>
              <w:t>Machine Learning Operations</w:t>
            </w:r>
          </w:p>
        </w:tc>
      </w:tr>
      <w:tr>
        <w:tc>
          <w:tcPr>
            <w:tcW w:type="dxa" w:w="4680"/>
          </w:tcPr>
          <w:p>
            <w:r>
              <w:rPr>
                <w:rFonts w:ascii="Times New Roman" w:hAnsi="Times New Roman"/>
                <w:b/>
                <w:sz w:val="22"/>
              </w:rPr>
              <w:t>NBA</w:t>
            </w:r>
          </w:p>
        </w:tc>
        <w:tc>
          <w:tcPr>
            <w:tcW w:type="dxa" w:w="4680"/>
          </w:tcPr>
          <w:p>
            <w:r>
              <w:rPr>
                <w:rFonts w:ascii="Times New Roman" w:hAnsi="Times New Roman"/>
                <w:sz w:val="22"/>
              </w:rPr>
              <w:t>National Board of Accreditation</w:t>
            </w:r>
          </w:p>
        </w:tc>
      </w:tr>
      <w:tr>
        <w:tc>
          <w:tcPr>
            <w:tcW w:type="dxa" w:w="4680"/>
          </w:tcPr>
          <w:p>
            <w:r>
              <w:rPr>
                <w:rFonts w:ascii="Times New Roman" w:hAnsi="Times New Roman"/>
                <w:b/>
                <w:sz w:val="22"/>
              </w:rPr>
              <w:t>NCrF</w:t>
            </w:r>
          </w:p>
        </w:tc>
        <w:tc>
          <w:tcPr>
            <w:tcW w:type="dxa" w:w="4680"/>
          </w:tcPr>
          <w:p>
            <w:r>
              <w:rPr>
                <w:rFonts w:ascii="Times New Roman" w:hAnsi="Times New Roman"/>
                <w:sz w:val="22"/>
              </w:rPr>
              <w:t>National Credit Framework</w:t>
            </w:r>
          </w:p>
        </w:tc>
      </w:tr>
      <w:tr>
        <w:tc>
          <w:tcPr>
            <w:tcW w:type="dxa" w:w="4680"/>
          </w:tcPr>
          <w:p>
            <w:r>
              <w:rPr>
                <w:rFonts w:ascii="Times New Roman" w:hAnsi="Times New Roman"/>
                <w:b/>
                <w:sz w:val="22"/>
              </w:rPr>
              <w:t>NEP</w:t>
            </w:r>
          </w:p>
        </w:tc>
        <w:tc>
          <w:tcPr>
            <w:tcW w:type="dxa" w:w="4680"/>
          </w:tcPr>
          <w:p>
            <w:r>
              <w:rPr>
                <w:rFonts w:ascii="Times New Roman" w:hAnsi="Times New Roman"/>
                <w:sz w:val="22"/>
              </w:rPr>
              <w:t>National Education Policy 2020</w:t>
            </w:r>
          </w:p>
        </w:tc>
      </w:tr>
      <w:tr>
        <w:tc>
          <w:tcPr>
            <w:tcW w:type="dxa" w:w="4680"/>
          </w:tcPr>
          <w:p>
            <w:r>
              <w:rPr>
                <w:rFonts w:ascii="Times New Roman" w:hAnsi="Times New Roman"/>
                <w:b/>
                <w:sz w:val="22"/>
              </w:rPr>
              <w:t>NLP</w:t>
            </w:r>
          </w:p>
        </w:tc>
        <w:tc>
          <w:tcPr>
            <w:tcW w:type="dxa" w:w="4680"/>
          </w:tcPr>
          <w:p>
            <w:r>
              <w:rPr>
                <w:rFonts w:ascii="Times New Roman" w:hAnsi="Times New Roman"/>
                <w:sz w:val="22"/>
              </w:rPr>
              <w:t>Natural Language Processing</w:t>
            </w:r>
          </w:p>
        </w:tc>
      </w:tr>
      <w:tr>
        <w:tc>
          <w:tcPr>
            <w:tcW w:type="dxa" w:w="4680"/>
          </w:tcPr>
          <w:p>
            <w:r>
              <w:rPr>
                <w:rFonts w:ascii="Times New Roman" w:hAnsi="Times New Roman"/>
                <w:b/>
                <w:sz w:val="22"/>
              </w:rPr>
              <w:t>OBE</w:t>
            </w:r>
          </w:p>
        </w:tc>
        <w:tc>
          <w:tcPr>
            <w:tcW w:type="dxa" w:w="4680"/>
          </w:tcPr>
          <w:p>
            <w:r>
              <w:rPr>
                <w:rFonts w:ascii="Times New Roman" w:hAnsi="Times New Roman"/>
                <w:sz w:val="22"/>
              </w:rPr>
              <w:t>Outcome-Based Education</w:t>
            </w:r>
          </w:p>
        </w:tc>
      </w:tr>
      <w:tr>
        <w:tc>
          <w:tcPr>
            <w:tcW w:type="dxa" w:w="4680"/>
          </w:tcPr>
          <w:p>
            <w:r>
              <w:rPr>
                <w:rFonts w:ascii="Times New Roman" w:hAnsi="Times New Roman"/>
                <w:b/>
                <w:sz w:val="22"/>
              </w:rPr>
              <w:t>PCC</w:t>
            </w:r>
          </w:p>
        </w:tc>
        <w:tc>
          <w:tcPr>
            <w:tcW w:type="dxa" w:w="4680"/>
          </w:tcPr>
          <w:p>
            <w:r>
              <w:rPr>
                <w:rFonts w:ascii="Times New Roman" w:hAnsi="Times New Roman"/>
                <w:sz w:val="22"/>
              </w:rPr>
              <w:t>Program Core Course</w:t>
            </w:r>
          </w:p>
        </w:tc>
      </w:tr>
      <w:tr>
        <w:tc>
          <w:tcPr>
            <w:tcW w:type="dxa" w:w="4680"/>
          </w:tcPr>
          <w:p>
            <w:r>
              <w:rPr>
                <w:rFonts w:ascii="Times New Roman" w:hAnsi="Times New Roman"/>
                <w:b/>
                <w:sz w:val="22"/>
              </w:rPr>
              <w:t>PDF</w:t>
            </w:r>
          </w:p>
        </w:tc>
        <w:tc>
          <w:tcPr>
            <w:tcW w:type="dxa" w:w="4680"/>
          </w:tcPr>
          <w:p>
            <w:r>
              <w:rPr>
                <w:rFonts w:ascii="Times New Roman" w:hAnsi="Times New Roman"/>
                <w:sz w:val="22"/>
              </w:rPr>
              <w:t>Portable Document Format</w:t>
            </w:r>
          </w:p>
        </w:tc>
      </w:tr>
      <w:tr>
        <w:tc>
          <w:tcPr>
            <w:tcW w:type="dxa" w:w="4680"/>
          </w:tcPr>
          <w:p>
            <w:r>
              <w:rPr>
                <w:rFonts w:ascii="Times New Roman" w:hAnsi="Times New Roman"/>
                <w:b/>
                <w:sz w:val="22"/>
              </w:rPr>
              <w:t>PESTEL</w:t>
            </w:r>
          </w:p>
        </w:tc>
        <w:tc>
          <w:tcPr>
            <w:tcW w:type="dxa" w:w="4680"/>
          </w:tcPr>
          <w:p>
            <w:r>
              <w:rPr>
                <w:rFonts w:ascii="Times New Roman" w:hAnsi="Times New Roman"/>
                <w:sz w:val="22"/>
              </w:rPr>
              <w:t>Political, Economic, Social, Technological, Environmental, Legal</w:t>
            </w:r>
          </w:p>
        </w:tc>
      </w:tr>
      <w:tr>
        <w:tc>
          <w:tcPr>
            <w:tcW w:type="dxa" w:w="4680"/>
          </w:tcPr>
          <w:p>
            <w:r>
              <w:rPr>
                <w:rFonts w:ascii="Times New Roman" w:hAnsi="Times New Roman"/>
                <w:b/>
                <w:sz w:val="22"/>
              </w:rPr>
              <w:t>PLO</w:t>
            </w:r>
          </w:p>
        </w:tc>
        <w:tc>
          <w:tcPr>
            <w:tcW w:type="dxa" w:w="4680"/>
          </w:tcPr>
          <w:p>
            <w:r>
              <w:rPr>
                <w:rFonts w:ascii="Times New Roman" w:hAnsi="Times New Roman"/>
                <w:sz w:val="22"/>
              </w:rPr>
              <w:t>Program Learning Outcome</w:t>
            </w:r>
          </w:p>
        </w:tc>
      </w:tr>
      <w:tr>
        <w:tc>
          <w:tcPr>
            <w:tcW w:type="dxa" w:w="4680"/>
          </w:tcPr>
          <w:p>
            <w:r>
              <w:rPr>
                <w:rFonts w:ascii="Times New Roman" w:hAnsi="Times New Roman"/>
                <w:b/>
                <w:sz w:val="22"/>
              </w:rPr>
              <w:t>RBAC</w:t>
            </w:r>
          </w:p>
        </w:tc>
        <w:tc>
          <w:tcPr>
            <w:tcW w:type="dxa" w:w="4680"/>
          </w:tcPr>
          <w:p>
            <w:r>
              <w:rPr>
                <w:rFonts w:ascii="Times New Roman" w:hAnsi="Times New Roman"/>
                <w:sz w:val="22"/>
              </w:rPr>
              <w:t>Role-Based Access Control</w:t>
            </w:r>
          </w:p>
        </w:tc>
      </w:tr>
      <w:tr>
        <w:tc>
          <w:tcPr>
            <w:tcW w:type="dxa" w:w="4680"/>
          </w:tcPr>
          <w:p>
            <w:r>
              <w:rPr>
                <w:rFonts w:ascii="Times New Roman" w:hAnsi="Times New Roman"/>
                <w:b/>
                <w:sz w:val="22"/>
              </w:rPr>
              <w:t>REST</w:t>
            </w:r>
          </w:p>
        </w:tc>
        <w:tc>
          <w:tcPr>
            <w:tcW w:type="dxa" w:w="4680"/>
          </w:tcPr>
          <w:p>
            <w:r>
              <w:rPr>
                <w:rFonts w:ascii="Times New Roman" w:hAnsi="Times New Roman"/>
                <w:sz w:val="22"/>
              </w:rPr>
              <w:t>Representational State Transfer</w:t>
            </w:r>
          </w:p>
        </w:tc>
      </w:tr>
      <w:tr>
        <w:tc>
          <w:tcPr>
            <w:tcW w:type="dxa" w:w="4680"/>
          </w:tcPr>
          <w:p>
            <w:r>
              <w:rPr>
                <w:rFonts w:ascii="Times New Roman" w:hAnsi="Times New Roman"/>
                <w:b/>
                <w:sz w:val="22"/>
              </w:rPr>
              <w:t>SDG</w:t>
            </w:r>
          </w:p>
        </w:tc>
        <w:tc>
          <w:tcPr>
            <w:tcW w:type="dxa" w:w="4680"/>
          </w:tcPr>
          <w:p>
            <w:r>
              <w:rPr>
                <w:rFonts w:ascii="Times New Roman" w:hAnsi="Times New Roman"/>
                <w:sz w:val="22"/>
              </w:rPr>
              <w:t>Sustainable Development Goal</w:t>
            </w:r>
          </w:p>
        </w:tc>
      </w:tr>
      <w:tr>
        <w:tc>
          <w:tcPr>
            <w:tcW w:type="dxa" w:w="4680"/>
          </w:tcPr>
          <w:p>
            <w:r>
              <w:rPr>
                <w:rFonts w:ascii="Times New Roman" w:hAnsi="Times New Roman"/>
                <w:b/>
                <w:sz w:val="22"/>
              </w:rPr>
              <w:t>SPA</w:t>
            </w:r>
          </w:p>
        </w:tc>
        <w:tc>
          <w:tcPr>
            <w:tcW w:type="dxa" w:w="4680"/>
          </w:tcPr>
          <w:p>
            <w:r>
              <w:rPr>
                <w:rFonts w:ascii="Times New Roman" w:hAnsi="Times New Roman"/>
                <w:sz w:val="22"/>
              </w:rPr>
              <w:t>Single Page Application</w:t>
            </w:r>
          </w:p>
        </w:tc>
      </w:tr>
      <w:tr>
        <w:tc>
          <w:tcPr>
            <w:tcW w:type="dxa" w:w="4680"/>
          </w:tcPr>
          <w:p>
            <w:r>
              <w:rPr>
                <w:rFonts w:ascii="Times New Roman" w:hAnsi="Times New Roman"/>
                <w:b/>
                <w:sz w:val="22"/>
              </w:rPr>
              <w:t>UI</w:t>
            </w:r>
          </w:p>
        </w:tc>
        <w:tc>
          <w:tcPr>
            <w:tcW w:type="dxa" w:w="4680"/>
          </w:tcPr>
          <w:p>
            <w:r>
              <w:rPr>
                <w:rFonts w:ascii="Times New Roman" w:hAnsi="Times New Roman"/>
                <w:sz w:val="22"/>
              </w:rPr>
              <w:t>User Interface</w:t>
            </w:r>
          </w:p>
        </w:tc>
      </w:tr>
      <w:tr>
        <w:tc>
          <w:tcPr>
            <w:tcW w:type="dxa" w:w="4680"/>
          </w:tcPr>
          <w:p>
            <w:r>
              <w:rPr>
                <w:rFonts w:ascii="Times New Roman" w:hAnsi="Times New Roman"/>
                <w:b/>
                <w:sz w:val="22"/>
              </w:rPr>
              <w:t>UX</w:t>
            </w:r>
          </w:p>
        </w:tc>
        <w:tc>
          <w:tcPr>
            <w:tcW w:type="dxa" w:w="4680"/>
          </w:tcPr>
          <w:p>
            <w:r>
              <w:rPr>
                <w:rFonts w:ascii="Times New Roman" w:hAnsi="Times New Roman"/>
                <w:sz w:val="22"/>
              </w:rPr>
              <w:t>User Experience</w:t>
            </w:r>
          </w:p>
        </w:tc>
      </w:tr>
      <w:tr>
        <w:tc>
          <w:tcPr>
            <w:tcW w:type="dxa" w:w="4680"/>
          </w:tcPr>
          <w:p>
            <w:r>
              <w:rPr>
                <w:rFonts w:ascii="Times New Roman" w:hAnsi="Times New Roman"/>
                <w:b/>
                <w:sz w:val="22"/>
              </w:rPr>
              <w:t>Vite</w:t>
            </w:r>
          </w:p>
        </w:tc>
        <w:tc>
          <w:tcPr>
            <w:tcW w:type="dxa" w:w="4680"/>
          </w:tcPr>
          <w:p>
            <w:r>
              <w:rPr>
                <w:rFonts w:ascii="Times New Roman" w:hAnsi="Times New Roman"/>
                <w:sz w:val="22"/>
              </w:rPr>
              <w:t>Next Generation Frontend Tooling</w:t>
            </w:r>
          </w:p>
        </w:tc>
      </w:tr>
      <w:tr>
        <w:tc>
          <w:tcPr>
            <w:tcW w:type="dxa" w:w="4680"/>
          </w:tcPr>
          <w:p>
            <w:r>
              <w:rPr>
                <w:rFonts w:ascii="Times New Roman" w:hAnsi="Times New Roman"/>
                <w:b/>
                <w:sz w:val="22"/>
              </w:rPr>
              <w:t>XML</w:t>
            </w:r>
          </w:p>
        </w:tc>
        <w:tc>
          <w:tcPr>
            <w:tcW w:type="dxa" w:w="4680"/>
          </w:tcPr>
          <w:p>
            <w:r>
              <w:rPr>
                <w:rFonts w:ascii="Times New Roman" w:hAnsi="Times New Roman"/>
                <w:sz w:val="22"/>
              </w:rPr>
              <w:t>Extensible Markup Language</w:t>
            </w:r>
          </w:p>
        </w:tc>
      </w:tr>
    </w:tbl>
    <w:p>
      <w:r>
        <w:br w:type="page"/>
      </w:r>
    </w:p>
    <w:p>
      <w:pPr>
        <w:spacing w:before="240" w:after="80"/>
        <w:jc w:val="center"/>
      </w:pPr>
      <w:r>
        <w:rPr>
          <w:rFonts w:ascii="Times New Roman" w:hAnsi="Times New Roman"/>
          <w:b/>
          <w:color w:val="000000"/>
          <w:sz w:val="36"/>
        </w:rPr>
        <w:t>CHAPTER-1</w:t>
        <w:br/>
      </w:r>
      <w:r>
        <w:rPr>
          <w:rFonts w:ascii="Times New Roman" w:hAnsi="Times New Roman"/>
          <w:b/>
          <w:color w:val="000000"/>
          <w:sz w:val="36"/>
        </w:rPr>
        <w:t>INTRODUCTION</w:t>
      </w:r>
    </w:p>
    <w:p>
      <w:pPr>
        <w:spacing w:before="280" w:after="80"/>
        <w:jc w:val="left"/>
      </w:pPr>
      <w:r>
        <w:rPr>
          <w:rFonts w:ascii="Times New Roman" w:hAnsi="Times New Roman"/>
          <w:b/>
          <w:color w:val="000000"/>
          <w:sz w:val="32"/>
        </w:rPr>
        <w:t>1.1 Background and Motivation</w:t>
      </w:r>
    </w:p>
    <w:p>
      <w:pPr>
        <w:spacing w:line="360" w:lineRule="auto" w:after="120"/>
        <w:jc w:val="both"/>
      </w:pPr>
      <w:r>
        <w:rPr>
          <w:rFonts w:ascii="Times New Roman" w:hAnsi="Times New Roman"/>
          <w:color w:val="000000"/>
          <w:sz w:val="24"/>
        </w:rPr>
        <w:t>The All India Council for Technical Education (AICTE), operating under the Ministry of Education, Government of India, periodically formulates and publishes model curricula for undergraduate and postgraduate engineering programs. These model curricula serve as national benchmarks designed to enforce academic rigor, maintain structural uniformity, and align institutional course offerings with contemporary industrial requirements. However, the distribution, customization, and continuous implementation of these frameworks across more than ten thousand affiliated technical colleges in India remain severely bottlenecked by static, document-centric manual processes.</w:t>
      </w:r>
    </w:p>
    <w:p>
      <w:pPr>
        <w:spacing w:line="360" w:lineRule="auto" w:after="120"/>
        <w:jc w:val="both"/>
      </w:pPr>
      <w:r>
        <w:rPr>
          <w:rFonts w:ascii="Times New Roman" w:hAnsi="Times New Roman"/>
          <w:color w:val="000000"/>
          <w:sz w:val="24"/>
        </w:rPr>
        <w:t>Currently, AICTE model curricula are published as voluminous, static PDF documents spanning two hundred to three hundred pages. Affiliated universities and autonomous colleges must manually examine these documents, compare them against their existing institutional syllabi, edit course outlines using desktop word processors, and route physical paper drafts through Board of Studies (BoS) committees for approval.</w:t>
      </w:r>
    </w:p>
    <w:p>
      <w:pPr>
        <w:spacing w:before="200" w:after="60"/>
        <w:jc w:val="left"/>
      </w:pPr>
      <w:r>
        <w:rPr>
          <w:rFonts w:ascii="Times New Roman" w:hAnsi="Times New Roman"/>
          <w:b/>
          <w:color w:val="000000"/>
          <w:sz w:val="28"/>
        </w:rPr>
        <w:t>1.1.1 Operational Deficiencies of Conventional Workflows</w:t>
      </w:r>
    </w:p>
    <w:p>
      <w:pPr>
        <w:spacing w:line="360" w:lineRule="auto" w:after="120"/>
        <w:jc w:val="both"/>
      </w:pPr>
      <w:r>
        <w:rPr>
          <w:rFonts w:ascii="Times New Roman" w:hAnsi="Times New Roman"/>
          <w:b/>
          <w:color w:val="000000"/>
          <w:sz w:val="24"/>
        </w:rPr>
        <w:t xml:space="preserve">Administrative Overhead: </w:t>
      </w:r>
      <w:r>
        <w:rPr>
          <w:rFonts w:ascii="Times New Roman" w:hAnsi="Times New Roman"/>
          <w:color w:val="000000"/>
          <w:sz w:val="24"/>
        </w:rPr>
        <w:t>The manual document-driven curriculum lifecycle suffers from five fundamental operational flaws:</w:t>
      </w:r>
    </w:p>
    <w:p>
      <w:pPr>
        <w:spacing w:line="360" w:lineRule="auto" w:after="120"/>
        <w:jc w:val="both"/>
      </w:pPr>
      <w:r>
        <w:rPr>
          <w:rFonts w:ascii="Times New Roman" w:hAnsi="Times New Roman"/>
          <w:color w:val="000000"/>
          <w:sz w:val="24"/>
        </w:rPr>
        <w:t>Faculty members spend hundreds of hours copy-pasting course descriptions, credit calculations, lecture-tutorial-practical ratios, and learning outcomes between disparate text files. This redundant labor distracts academic staff from core teaching and research activities.</w:t>
      </w:r>
    </w:p>
    <w:p>
      <w:pPr>
        <w:spacing w:line="360" w:lineRule="auto" w:after="120"/>
        <w:jc w:val="both"/>
      </w:pPr>
      <w:r>
        <w:rPr>
          <w:rFonts w:ascii="Times New Roman" w:hAnsi="Times New Roman"/>
          <w:b/>
          <w:color w:val="000000"/>
          <w:sz w:val="24"/>
        </w:rPr>
        <w:t xml:space="preserve">Absence of Revision Transparency: </w:t>
      </w:r>
      <w:r>
        <w:rPr>
          <w:rFonts w:ascii="Times New Roman" w:hAnsi="Times New Roman"/>
          <w:color w:val="000000"/>
          <w:sz w:val="24"/>
        </w:rPr>
        <w:t>Incremental syllabus updates often lead to significant ambiguity regarding which revision version is active in a given academic year. Colleges frequently struggle to audit historical changes, resulting in discrepancies between taught content and accredited course outcomes.</w:t>
      </w:r>
    </w:p>
    <w:p>
      <w:pPr>
        <w:spacing w:line="360" w:lineRule="auto" w:after="120"/>
        <w:jc w:val="both"/>
      </w:pPr>
      <w:r>
        <w:rPr>
          <w:rFonts w:ascii="Times New Roman" w:hAnsi="Times New Roman"/>
          <w:b/>
          <w:color w:val="000000"/>
          <w:sz w:val="24"/>
        </w:rPr>
        <w:t xml:space="preserve">Latent Skill Gap Blindspots: </w:t>
      </w:r>
      <w:r>
        <w:rPr>
          <w:rFonts w:ascii="Times New Roman" w:hAnsi="Times New Roman"/>
          <w:color w:val="000000"/>
          <w:sz w:val="24"/>
        </w:rPr>
        <w:t>Human review processes frequently fail to detect subtle competency gaps in rapidly evolving technological fields. As industry demands shift toward emerging fields such as Machine Learning Operations (MLOps), Generative AI, Cloud Infrastructure, DevSecOps, and Container Security, traditional manual audits struggle to identify missing topics embedded within dense text outlines.</w:t>
      </w:r>
    </w:p>
    <w:p>
      <w:pPr>
        <w:spacing w:line="360" w:lineRule="auto" w:after="120"/>
        <w:jc w:val="both"/>
      </w:pPr>
      <w:r>
        <w:rPr>
          <w:rFonts w:ascii="Times New Roman" w:hAnsi="Times New Roman"/>
          <w:b/>
          <w:color w:val="000000"/>
          <w:sz w:val="24"/>
        </w:rPr>
        <w:t xml:space="preserve">Fragmented Regulatory Communication: </w:t>
      </w:r>
      <w:r>
        <w:rPr>
          <w:rFonts w:ascii="Times New Roman" w:hAnsi="Times New Roman"/>
          <w:color w:val="000000"/>
          <w:sz w:val="24"/>
        </w:rPr>
        <w:t>Approval workflows rely on offline Word documents attached to unmonitored email threads, leading to lost revisions, unrecorded committee feedback, and extended approval delays across departmental boards.</w:t>
      </w:r>
    </w:p>
    <w:p>
      <w:pPr>
        <w:spacing w:line="360" w:lineRule="auto" w:after="120"/>
        <w:jc w:val="both"/>
      </w:pPr>
      <w:r>
        <w:rPr>
          <w:rFonts w:ascii="Times New Roman" w:hAnsi="Times New Roman"/>
          <w:b/>
          <w:color w:val="000000"/>
          <w:sz w:val="24"/>
        </w:rPr>
        <w:t xml:space="preserve">Impaired Stakeholder Discovery: </w:t>
      </w:r>
      <w:r>
        <w:rPr>
          <w:rFonts w:ascii="Times New Roman" w:hAnsi="Times New Roman"/>
          <w:color w:val="000000"/>
          <w:sz w:val="24"/>
        </w:rPr>
        <w:t>Students and external stakeholders lack a centralized digital portal to inspect active course structures across technical institutions. Published syllabi remain buried inside institutional static websites or scanning repositories, hindering public transparency and credit transfer evaluations.</w:t>
      </w:r>
    </w:p>
    <w:p>
      <w:pPr>
        <w:spacing w:before="280" w:after="80"/>
        <w:jc w:val="left"/>
      </w:pPr>
      <w:r>
        <w:rPr>
          <w:rFonts w:ascii="Times New Roman" w:hAnsi="Times New Roman"/>
          <w:b/>
          <w:color w:val="000000"/>
          <w:sz w:val="32"/>
        </w:rPr>
        <w:t>1.2 Scope and Operational Limitations of Existing Methods</w:t>
      </w:r>
    </w:p>
    <w:p>
      <w:pPr>
        <w:spacing w:line="360" w:lineRule="auto" w:after="120"/>
        <w:jc w:val="both"/>
      </w:pPr>
      <w:r>
        <w:rPr>
          <w:rFonts w:ascii="Times New Roman" w:hAnsi="Times New Roman"/>
          <w:color w:val="000000"/>
          <w:sz w:val="24"/>
        </w:rPr>
        <w:t>The scope of this project encompasses designing and deploying an enterprise-grade digital curriculum portal, named CourseFlow, tailored to autonomous engineering colleges and AICTE-affiliated technical institutions. The system models the complete undergraduate Bachelor of Technology (B.Tech) four-year academic lifecycle across all eight semesters, strictly enforcing the AICTE-prescribed 160.0 Credits minimum benchmark.</w:t>
      </w:r>
    </w:p>
    <w:p>
      <w:pPr>
        <w:spacing w:line="360" w:lineRule="auto" w:after="120"/>
        <w:jc w:val="both"/>
      </w:pPr>
      <w:r>
        <w:rPr>
          <w:rFonts w:ascii="Times New Roman" w:hAnsi="Times New Roman"/>
          <w:color w:val="000000"/>
          <w:sz w:val="24"/>
        </w:rPr>
        <w:t>Existing academic ERPs (e.g., SAP Campus Management, Ellucian, or traditional Moodle learning management systems) concentrate heavily on student grading, attendance rosters, and fee processing, entirely ignoring the front-end curriculum design, syllabus structuring, AI-guided benchmarking, and fine-grained module-level version diffing required by Boards of Studies.</w:t>
      </w:r>
    </w:p>
    <w:p>
      <w:pPr>
        <w:spacing w:before="280" w:after="80"/>
        <w:jc w:val="left"/>
      </w:pPr>
      <w:r>
        <w:rPr>
          <w:rFonts w:ascii="Times New Roman" w:hAnsi="Times New Roman"/>
          <w:b/>
          <w:color w:val="000000"/>
          <w:sz w:val="32"/>
        </w:rPr>
        <w:t>1.3 Problem Statement</w:t>
      </w:r>
    </w:p>
    <w:p>
      <w:pPr>
        <w:spacing w:line="360" w:lineRule="auto" w:after="120"/>
        <w:jc w:val="both"/>
      </w:pPr>
      <w:r>
        <w:rPr>
          <w:rFonts w:ascii="Times New Roman" w:hAnsi="Times New Roman"/>
          <w:color w:val="000000"/>
          <w:sz w:val="24"/>
        </w:rPr>
        <w:t>To engineer an interactive, unified, and cloud-ready web application that automates syllabus extraction from legacy PDF publications, provides tree-structured hierarchical module authoring, performs multi-level AI alignment against official AICTE reference benchmarks, delivers instant visual delta version control for departmental faculty and Heads of Department (HOD), and guarantees strict adherence to the 160.0 Credits AICTE autonomous framework while advancing UN Sustainable Development Goal 9.</w:t>
      </w:r>
    </w:p>
    <w:p>
      <w:pPr>
        <w:spacing w:before="280" w:after="80"/>
        <w:jc w:val="left"/>
      </w:pPr>
      <w:r>
        <w:rPr>
          <w:rFonts w:ascii="Times New Roman" w:hAnsi="Times New Roman"/>
          <w:b/>
          <w:color w:val="000000"/>
          <w:sz w:val="32"/>
        </w:rPr>
        <w:t>1.4 Research Motivation</w:t>
      </w:r>
    </w:p>
    <w:p>
      <w:pPr>
        <w:spacing w:line="360" w:lineRule="auto" w:after="120"/>
        <w:jc w:val="both"/>
      </w:pPr>
      <w:r>
        <w:rPr>
          <w:rFonts w:ascii="Times New Roman" w:hAnsi="Times New Roman"/>
          <w:color w:val="000000"/>
          <w:sz w:val="24"/>
        </w:rPr>
        <w:t>Under the National Education Policy (NEP 2020) and the National Credit Framework (NCrF), higher technical education in India is undergoing a massive transformation toward interdisciplinary learning, multiple entry and exit pathways, and outcome-based continuous quality improvement (CQI). Achieving compliance with these national mandates requires replacing static paperwork with dynamic software architecture capable of providing real-time auditability, role-segregated governance, and automated gap analytics.</w:t>
      </w:r>
    </w:p>
    <w:p>
      <w:pPr>
        <w:spacing w:before="280" w:after="80"/>
        <w:jc w:val="left"/>
      </w:pPr>
      <w:r>
        <w:rPr>
          <w:rFonts w:ascii="Times New Roman" w:hAnsi="Times New Roman"/>
          <w:b/>
          <w:color w:val="000000"/>
          <w:sz w:val="32"/>
        </w:rPr>
        <w:t>1.5 Methodology Overview</w:t>
      </w:r>
    </w:p>
    <w:p>
      <w:pPr>
        <w:spacing w:line="360" w:lineRule="auto" w:after="120"/>
        <w:jc w:val="both"/>
      </w:pPr>
      <w:r>
        <w:rPr>
          <w:rFonts w:ascii="Times New Roman" w:hAnsi="Times New Roman"/>
          <w:color w:val="000000"/>
          <w:sz w:val="24"/>
        </w:rPr>
        <w:t>CourseFlow adopts a modern Single Page Application (SPA) architecture built with React 19, Vite, Tailwind CSS, Lucide React, and Recharts, backed by an asynchronous service layer. The platform executes an 8-stage syllabus ingestion pipeline that reads raw PDF catalogues, computes credits, segments five segregated modules per subject, and renders an interactive tree editor. Departmental faculty author modifications that generate live visual diffs; Heads of Department inspect newly introduced and pruned topics via an expedited Delta Diff review queue; and approvals immediately bump versions (e.g. v1.0 to v2.0) with immutable timestamps and ratification audit trails.</w:t>
      </w:r>
    </w:p>
    <w:p>
      <w:pPr>
        <w:spacing w:before="280" w:after="80"/>
        <w:jc w:val="left"/>
      </w:pPr>
      <w:r>
        <w:rPr>
          <w:rFonts w:ascii="Times New Roman" w:hAnsi="Times New Roman"/>
          <w:b/>
          <w:color w:val="000000"/>
          <w:sz w:val="32"/>
        </w:rPr>
        <w:t>1.6 Organization of the Project Report</w:t>
      </w:r>
    </w:p>
    <w:p>
      <w:pPr>
        <w:spacing w:line="360" w:lineRule="auto" w:after="120"/>
        <w:jc w:val="both"/>
      </w:pPr>
      <w:r>
        <w:rPr>
          <w:rFonts w:ascii="Times New Roman" w:hAnsi="Times New Roman"/>
          <w:color w:val="000000"/>
          <w:sz w:val="24"/>
        </w:rPr>
        <w:t>The remainder of this report is organized as follows: Chapter 2 delivers a systematic literature review analyzing 10 recent research papers in strict alphabetical order. Chapter 3 isolates specific research gaps. Chapter 4 outlines the proposed methodology, architecture, and schema models. Chapter 5 defines core project objectives. Chapter 6 provides granular module-wise implementation details and algorithmic formulations. Chapter 7 presents the execution Gantt chart. Chapter 8 articulates realized outcomes. Chapter 9 evaluates experimental results and performance gains. Finally, Chapter 10 concludes the work and details future expansion.</w:t>
      </w:r>
    </w:p>
    <w:p>
      <w:r>
        <w:br w:type="page"/>
      </w:r>
    </w:p>
    <w:p>
      <w:pPr>
        <w:spacing w:before="240" w:after="80"/>
        <w:jc w:val="center"/>
      </w:pPr>
      <w:r>
        <w:rPr>
          <w:rFonts w:ascii="Times New Roman" w:hAnsi="Times New Roman"/>
          <w:b/>
          <w:color w:val="000000"/>
          <w:sz w:val="36"/>
        </w:rPr>
        <w:t>CHAPTER-2</w:t>
        <w:br/>
      </w:r>
      <w:r>
        <w:rPr>
          <w:rFonts w:ascii="Times New Roman" w:hAnsi="Times New Roman"/>
          <w:b/>
          <w:color w:val="000000"/>
          <w:sz w:val="36"/>
        </w:rPr>
        <w:t>LITERATURE REVIEW</w:t>
      </w:r>
    </w:p>
    <w:p>
      <w:pPr>
        <w:spacing w:before="280" w:after="80"/>
        <w:jc w:val="left"/>
      </w:pPr>
      <w:r>
        <w:rPr>
          <w:rFonts w:ascii="Times New Roman" w:hAnsi="Times New Roman"/>
          <w:b/>
          <w:color w:val="000000"/>
          <w:sz w:val="32"/>
        </w:rPr>
        <w:t>2.1 Introduction to Related Work</w:t>
      </w:r>
    </w:p>
    <w:p>
      <w:pPr>
        <w:spacing w:line="360" w:lineRule="auto" w:after="120"/>
        <w:jc w:val="both"/>
      </w:pPr>
      <w:r>
        <w:rPr>
          <w:rFonts w:ascii="Times New Roman" w:hAnsi="Times New Roman"/>
          <w:color w:val="000000"/>
          <w:sz w:val="24"/>
        </w:rPr>
        <w:t>Academic literature reveals extensive research into Outcome-Based Education (OBE), curriculum mapping, automated learning outcome analysis, and university portal engineering. However, existing implementations exhibit critical architectural, algorithmic, and governance limitations when applied to large-scale national technical education frameworks like AICTE.</w:t>
      </w:r>
    </w:p>
    <w:p>
      <w:pPr>
        <w:spacing w:before="280" w:after="80"/>
        <w:jc w:val="left"/>
      </w:pPr>
      <w:r>
        <w:rPr>
          <w:rFonts w:ascii="Times New Roman" w:hAnsi="Times New Roman"/>
          <w:b/>
          <w:color w:val="000000"/>
          <w:sz w:val="32"/>
        </w:rPr>
        <w:t>2.2 Systematic Survey of Existing Systems (10 Research Papers)</w:t>
      </w:r>
    </w:p>
    <w:p>
      <w:pPr>
        <w:spacing w:line="360" w:lineRule="auto" w:after="120"/>
        <w:jc w:val="both"/>
      </w:pPr>
      <w:r>
        <w:rPr>
          <w:rFonts w:ascii="Times New Roman" w:hAnsi="Times New Roman"/>
          <w:color w:val="000000"/>
          <w:sz w:val="24"/>
        </w:rPr>
        <w:t>To establish rigorous academic foundations, ten recent baseline research papers evaluating curriculum management, ontological modeling, outcome mapping, and automated academic workflows were surveyed. In accordance with university project guidelines, these papers are analyzed in strict alphabetical order by the primary author's surname:</w:t>
      </w:r>
    </w:p>
    <w:p>
      <w:pPr>
        <w:spacing w:before="200" w:after="60"/>
        <w:jc w:val="left"/>
      </w:pPr>
      <w:r>
        <w:rPr>
          <w:rFonts w:ascii="Times New Roman" w:hAnsi="Times New Roman"/>
          <w:b/>
          <w:color w:val="000000"/>
          <w:sz w:val="28"/>
        </w:rPr>
        <w:t>2.2.1 Al Jubori, Shorman, and Khder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Al Jubori, S. Shorman, and M. A. Khder, 'Curriculum management system to measure course &amp; program outcomes', International Journal of Information and Education Technology, 2024.</w:t>
      </w:r>
    </w:p>
    <w:p>
      <w:pPr>
        <w:spacing w:line="360" w:lineRule="auto" w:after="120"/>
        <w:jc w:val="both"/>
      </w:pPr>
      <w:r>
        <w:rPr>
          <w:rFonts w:ascii="Times New Roman" w:hAnsi="Times New Roman"/>
          <w:color w:val="000000"/>
          <w:sz w:val="24"/>
        </w:rPr>
        <w:t>Al Jubori et al. engineered an analytical dashboard aimed at quantifying the attainment of Course Outcomes (COs) and Program Outcomes (POs) through post-assessment grading metrics. Their method calculates statistical attainment vectors based on student continuous internal evaluation (CIE) and semester-end examinations.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Their system operates purely as a post-hoc assessment calculator. It entirely lacks dynamic syllabus editing, does not provide multi-tenant governance across affiliated institutions, offers zero version diffing mechanisms when syllabi are altered, and provides no natural language processing capabilities to parse raw institutional PDF documents.</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overcomes these limitations by integrating upstream curriculum design with downstream compliance. Rather than only assessing student marks after courses finish, CourseFlow manages the actual module structure, credit ratios, and AI-driven benchmark alignment during curriculum formulation, supporting multi-institutional schemas with instant visual version tracking.</w:t>
      </w:r>
    </w:p>
    <w:p>
      <w:pPr>
        <w:spacing w:before="200" w:after="60"/>
        <w:jc w:val="left"/>
      </w:pPr>
      <w:r>
        <w:rPr>
          <w:rFonts w:ascii="Times New Roman" w:hAnsi="Times New Roman"/>
          <w:b/>
          <w:color w:val="000000"/>
          <w:sz w:val="28"/>
        </w:rPr>
        <w:t>2.2.2 Al-Mulla, Al-Turki, and Hassan (2025)</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M. Al-Mulla, A. Al-Turki, and S. Hassan, 'OBC-ONTO: Ontological framework for the analysis of outcome-based curriculum in higher education', IEEE Access, vol. 13, pp. 24110–24125, 2025.</w:t>
      </w:r>
    </w:p>
    <w:p>
      <w:pPr>
        <w:spacing w:line="360" w:lineRule="auto" w:after="120"/>
        <w:jc w:val="both"/>
      </w:pPr>
      <w:r>
        <w:rPr>
          <w:rFonts w:ascii="Times New Roman" w:hAnsi="Times New Roman"/>
          <w:color w:val="000000"/>
          <w:sz w:val="24"/>
        </w:rPr>
        <w:t>The authors developed OBC-ONTO, a formal OWL/RDF ontology for outcome-based curriculum representation in tertiary institutions. Their methodology uses SPARQL inference queries to identify semantic relationships between accreditation standards and university learning objectives.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While ontological reasoning provides mathematical precision, the framework is heavily theoretical. It requires complex desktop ontology editors (Protégé), completely lacks a real-time responsive web UI for non-technical faculty, does not support collaborative workflow approval routing, and provides no automated PDF extraction for legacy course documents.</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bridges the gap between formal compliance and human usability by deploying an intuitive web interface with interactive tree editors. Academic staff do not write SPARQL queries; instead, the system encapsulates semantic mapping behind an automated AI Alignment Matrix that compares subjects against AICTE models in real-time.</w:t>
      </w:r>
    </w:p>
    <w:p>
      <w:pPr>
        <w:spacing w:before="200" w:after="60"/>
        <w:jc w:val="left"/>
      </w:pPr>
      <w:r>
        <w:rPr>
          <w:rFonts w:ascii="Times New Roman" w:hAnsi="Times New Roman"/>
          <w:b/>
          <w:color w:val="000000"/>
          <w:sz w:val="28"/>
        </w:rPr>
        <w:t>2.2.3 Chen, Wei, and Lin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A. Chen, H. Wei, and Z. Lin, 'Enterprise academic portal for curriculum standardization across university networks', Journal of Systems and Software in Higher Education, 2024.</w:t>
      </w:r>
    </w:p>
    <w:p>
      <w:pPr>
        <w:spacing w:line="360" w:lineRule="auto" w:after="120"/>
        <w:jc w:val="both"/>
      </w:pPr>
      <w:r>
        <w:rPr>
          <w:rFonts w:ascii="Times New Roman" w:hAnsi="Times New Roman"/>
          <w:color w:val="000000"/>
          <w:sz w:val="24"/>
        </w:rPr>
        <w:t>Chen et al. proposed a centralized multi-campus portal architecture for synchronizing course catalogues across sprawling university systems. Their system utilizes relational database schemas to propagate standardized course titles and credit definitions from a central registry to satellite campuses.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The implementation functions predominantly as a top-down, read-only broadcast mechanism. It does not provide granular sub-topic authoring tools for autonomous faculty, fails to detect emerging industry skill deficiencies, and lacks automated visual diffing between different regulatory batches.</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provides autonomous engineering colleges with full local tailoring power while continuously evaluating deviations against national AICTE benchmarks through color-coded alignment cards and granular chapter authoring.</w:t>
      </w:r>
    </w:p>
    <w:p>
      <w:pPr>
        <w:spacing w:before="200" w:after="60"/>
        <w:jc w:val="left"/>
      </w:pPr>
      <w:r>
        <w:rPr>
          <w:rFonts w:ascii="Times New Roman" w:hAnsi="Times New Roman"/>
          <w:b/>
          <w:color w:val="000000"/>
          <w:sz w:val="28"/>
        </w:rPr>
        <w:t>2.2.4 Haritha, Suneetha, and Kavitha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D. Haritha, M. Suneetha, and D. Kavitha, 'Outcome-based curriculum development for engineering courses utilizing text mining', in Proc. IEEE International Conference on Advanced Computing, 2024.</w:t>
      </w:r>
    </w:p>
    <w:p>
      <w:pPr>
        <w:spacing w:line="360" w:lineRule="auto" w:after="120"/>
        <w:jc w:val="both"/>
      </w:pPr>
      <w:r>
        <w:rPr>
          <w:rFonts w:ascii="Times New Roman" w:hAnsi="Times New Roman"/>
          <w:color w:val="000000"/>
          <w:sz w:val="24"/>
        </w:rPr>
        <w:t>This research utilized TF-IDF text mining and cosine similarity to map engineering course outcome descriptions against NBA graduate attributes. Their offline Python scripts analyzed syllabus text files to evaluate cognitive depth.</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The text mining pipeline was conducted offline without any web integration. It required manual preprocessing of text documents, lacked multi-role approval governance, provided no mechanism for faculty to edit modules directly, and completely ignored credit distribution rules.</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incorporates integrated Natural Language Processing directly into the web application browser. Instructors upload raw PDF catalogues; the system automatically segments units, extracts course outcomes, computes Bloom's cognitive levels, and visualizes alignment without manual scripting.</w:t>
      </w:r>
    </w:p>
    <w:p>
      <w:pPr>
        <w:spacing w:before="200" w:after="60"/>
        <w:jc w:val="left"/>
      </w:pPr>
      <w:r>
        <w:rPr>
          <w:rFonts w:ascii="Times New Roman" w:hAnsi="Times New Roman"/>
          <w:b/>
          <w:color w:val="000000"/>
          <w:sz w:val="28"/>
        </w:rPr>
        <w:t>2.2.5 Hermawan, Nurhikmat, and Sani (2025)</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H. D. Hermawan, A. Nurhikmat, and R. A. Sani, 'PLO-driven engineering curriculum framework using Django: A HITL workflow for CLO–KSEC mapping', IEEE Transactions on Education, vol. 68, no. 1, pp. 78–86, 2025.</w:t>
      </w:r>
    </w:p>
    <w:p>
      <w:pPr>
        <w:spacing w:line="360" w:lineRule="auto" w:after="120"/>
        <w:jc w:val="both"/>
      </w:pPr>
      <w:r>
        <w:rPr>
          <w:rFonts w:ascii="Times New Roman" w:hAnsi="Times New Roman"/>
          <w:color w:val="000000"/>
          <w:sz w:val="24"/>
        </w:rPr>
        <w:t>Hermawan et al. constructed a web framework using Python Django implementing a Human-In-The-Loop (HITL) methodology to map Course Learning Outcomes to Knowledge-Skill-Entity-Competency (KSEC) matrices for vocational engineering programs.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Their application was limited to single-discipline, single-department instances and lacked multi-tenancy. Furthermore, their Django template-rendered UI caused full-page refreshes during editing, lacked responsive charts, omitted automated PDF extraction, and provided no side-by-side visual version delta comparisons.</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implements a lightning-fast React 19 Single Page Application with instantaneous client-side state transitions. It manages multi-batch university regulations simultaneously (e.g. Batch 2023–2027 vs 2024–2028), while delivering automated side-by-side visual diff engines for BoS meetings.</w:t>
      </w:r>
    </w:p>
    <w:p>
      <w:pPr>
        <w:spacing w:before="200" w:after="60"/>
        <w:jc w:val="left"/>
      </w:pPr>
      <w:r>
        <w:rPr>
          <w:rFonts w:ascii="Times New Roman" w:hAnsi="Times New Roman"/>
          <w:b/>
          <w:color w:val="000000"/>
          <w:sz w:val="28"/>
        </w:rPr>
        <w:t>2.2.6 Li and Wang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W. Li and Y. Wang, 'Collaborative framework for OBE curriculum engineering in multi-disciplinary colleges', in Proc. IEEE International Conference on Educational Technology (ICET), 2024.</w:t>
      </w:r>
    </w:p>
    <w:p>
      <w:pPr>
        <w:spacing w:line="360" w:lineRule="auto" w:after="120"/>
        <w:jc w:val="both"/>
      </w:pPr>
      <w:r>
        <w:rPr>
          <w:rFonts w:ascii="Times New Roman" w:hAnsi="Times New Roman"/>
          <w:color w:val="000000"/>
          <w:sz w:val="24"/>
        </w:rPr>
        <w:t>Li and Wang designed a collaborative document-authoring platform where academic committees could co-edit course syllabi using shared markdown buffers.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While collaboration was enabled, the platform lacked rigid academic schema constraints. It allowed arbitrary text editing without verifying lecture-tutorial-practical ratios, ignored national regulatory credit caps, and offered no AI-driven gap detection against official reference models.</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enforces strict pedagogical and structural constraints. Every course adheres to verified JSON schemas with 5 structured modules, contact hour allocations, and automatic semester credit summations ensuring the degree totals exactly 160.0 Credits.</w:t>
      </w:r>
    </w:p>
    <w:p>
      <w:pPr>
        <w:spacing w:before="200" w:after="60"/>
        <w:jc w:val="left"/>
      </w:pPr>
      <w:r>
        <w:rPr>
          <w:rFonts w:ascii="Times New Roman" w:hAnsi="Times New Roman"/>
          <w:b/>
          <w:color w:val="000000"/>
          <w:sz w:val="28"/>
        </w:rPr>
        <w:t>2.2.7 Padovano and Cardamone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A. Padovano and M. Cardamone, 'Human-AI collaboration in competency-based curriculum development', Computers &amp; Education: Artificial Intelligence, 2024.</w:t>
      </w:r>
    </w:p>
    <w:p>
      <w:pPr>
        <w:spacing w:line="360" w:lineRule="auto" w:after="120"/>
        <w:jc w:val="both"/>
      </w:pPr>
      <w:r>
        <w:rPr>
          <w:rFonts w:ascii="Times New Roman" w:hAnsi="Times New Roman"/>
          <w:color w:val="000000"/>
          <w:sz w:val="24"/>
        </w:rPr>
        <w:t>Padovano and Cardamone explored generative AI and prompt-engineering workflows to assist course instructors in drafting new course outlines from industrial competency prompts.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Their work underscored the critical danger of hallucinations and structural errors when utilizing unconstrained LLMs. They advocated for strict human verification interfaces but did not build an enterprise platform with role-based sign-offs, regulatory checks, or institutional persistence.</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implements the recommended Human-in-the-Loop paradigm: automated extraction and AI gap recommendations are presented as suggestions that must be formally reviewed, modified, and ratified by designated Faculty Specialists and HODs through multi-tier RBAC approval states.</w:t>
      </w:r>
    </w:p>
    <w:p>
      <w:pPr>
        <w:spacing w:before="200" w:after="60"/>
        <w:jc w:val="left"/>
      </w:pPr>
      <w:r>
        <w:rPr>
          <w:rFonts w:ascii="Times New Roman" w:hAnsi="Times New Roman"/>
          <w:b/>
          <w:color w:val="000000"/>
          <w:sz w:val="28"/>
        </w:rPr>
        <w:t>2.2.8 Raza, Ahmad, and Khan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M. H. Raza, T. Ahmad, and S. A. Khan, 'Integrated digital platform for curriculum design, review, &amp; CQI in technical education', IEEE Access, 2024.</w:t>
      </w:r>
    </w:p>
    <w:p>
      <w:pPr>
        <w:spacing w:line="360" w:lineRule="auto" w:after="120"/>
        <w:jc w:val="both"/>
      </w:pPr>
      <w:r>
        <w:rPr>
          <w:rFonts w:ascii="Times New Roman" w:hAnsi="Times New Roman"/>
          <w:color w:val="000000"/>
          <w:sz w:val="24"/>
        </w:rPr>
        <w:t>Raza et al. presented a web platform supporting curriculum revision cycles across engineering departments, facilitating committee feedback and rubrics-based continuous improvement tracking.</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Their system did not include automated PDF ingestion, required manual data entry for every subject, lacked visual version diffing tools (forcing reviewers to read whole documents side-by-side), and provided no automated comparison against external benchmark models like AICTE.</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introduces an automated visual Delta Diff engine that highlights added topics in emerald green and pruned topics in red strikethrough, allowing Department Heads to approve revisions in seconds without re-reading intact modules.</w:t>
      </w:r>
    </w:p>
    <w:p>
      <w:pPr>
        <w:spacing w:before="200" w:after="60"/>
        <w:jc w:val="left"/>
      </w:pPr>
      <w:r>
        <w:rPr>
          <w:rFonts w:ascii="Times New Roman" w:hAnsi="Times New Roman"/>
          <w:b/>
          <w:color w:val="000000"/>
          <w:sz w:val="28"/>
        </w:rPr>
        <w:t>2.2.9 Tiwari and Kumar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P. Tiwari and R. Kumar, 'Web-based academic portal for standardized syllabus distribution in university networks', in Proc. IEEE ICAC, 2024.</w:t>
      </w:r>
    </w:p>
    <w:p>
      <w:pPr>
        <w:spacing w:line="360" w:lineRule="auto" w:after="120"/>
        <w:jc w:val="both"/>
      </w:pPr>
      <w:r>
        <w:rPr>
          <w:rFonts w:ascii="Times New Roman" w:hAnsi="Times New Roman"/>
          <w:color w:val="000000"/>
          <w:sz w:val="24"/>
        </w:rPr>
        <w:t>Tiwari and Kumar constructed a centralized web repository for publishing approved university syllabi as downloadable static PDF booklets for students and educators.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Their portal was purely a static publishing repository. It did not support syllabus authoring, provided no analytical tools, offered zero skill gap diagnostics, and contained no version revision tracking.</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serves both as a dynamic authoring workspace and an open public discovery catalog. Students and external auditors can browse live curricula, search courses by acronyms (e.g., 'DAA', 'ML', 'OS'), and inspect topic modules and accredited Bloom's outcomes in real-time.</w:t>
      </w:r>
    </w:p>
    <w:p>
      <w:pPr>
        <w:spacing w:before="200" w:after="60"/>
        <w:jc w:val="left"/>
      </w:pPr>
      <w:r>
        <w:rPr>
          <w:rFonts w:ascii="Times New Roman" w:hAnsi="Times New Roman"/>
          <w:b/>
          <w:color w:val="000000"/>
          <w:sz w:val="28"/>
        </w:rPr>
        <w:t>2.2.10 Zhang, Wang, and Liu (2024)</w:t>
      </w:r>
    </w:p>
    <w:p>
      <w:pPr>
        <w:spacing w:line="360" w:lineRule="auto" w:after="120"/>
        <w:jc w:val="both"/>
      </w:pPr>
      <w:r>
        <w:rPr>
          <w:rFonts w:ascii="Times New Roman" w:hAnsi="Times New Roman"/>
          <w:b/>
          <w:color w:val="000000"/>
          <w:sz w:val="24"/>
        </w:rPr>
        <w:t xml:space="preserve">Bibliographic Details: </w:t>
      </w:r>
      <w:r>
        <w:rPr>
          <w:rFonts w:ascii="Times New Roman" w:hAnsi="Times New Roman"/>
          <w:color w:val="000000"/>
          <w:sz w:val="24"/>
        </w:rPr>
        <w:t>L. Zhang, Y. Wang, and X. Liu, 'Data-driven curriculum mapping &amp; skill gap analysis using graph neural networks', Journal of Educational Data Mining, 2024.</w:t>
      </w:r>
    </w:p>
    <w:p>
      <w:pPr>
        <w:spacing w:line="360" w:lineRule="auto" w:after="120"/>
        <w:jc w:val="both"/>
      </w:pPr>
      <w:r>
        <w:rPr>
          <w:rFonts w:ascii="Times New Roman" w:hAnsi="Times New Roman"/>
          <w:color w:val="000000"/>
          <w:sz w:val="24"/>
        </w:rPr>
        <w:t>Zhang et al. developed graph neural network (GNN) models to map prerequisite dependencies across computer science curricula and predict emerging industry skill deficits.</w:t>
      </w:r>
    </w:p>
    <w:p>
      <w:pPr>
        <w:spacing w:line="360" w:lineRule="auto" w:after="120"/>
        <w:jc w:val="both"/>
      </w:pPr>
      <w:r>
        <w:rPr>
          <w:rFonts w:ascii="Times New Roman" w:hAnsi="Times New Roman"/>
          <w:b/>
          <w:color w:val="000000"/>
          <w:sz w:val="24"/>
        </w:rPr>
        <w:t xml:space="preserve">Shortcomings &amp; Research Gaps: </w:t>
      </w:r>
      <w:r>
        <w:rPr>
          <w:rFonts w:ascii="Times New Roman" w:hAnsi="Times New Roman"/>
          <w:color w:val="000000"/>
          <w:sz w:val="24"/>
        </w:rPr>
        <w:t>Despite strong theoretical rigor, the research was restricted to offline computational experiments. They provided no usable web interface for academic boards, did not support regulatory credit allocation rules, and omitted collaborative departmental review workflows.</w:t>
      </w:r>
    </w:p>
    <w:p>
      <w:pPr>
        <w:spacing w:line="360" w:lineRule="auto" w:after="120"/>
        <w:jc w:val="both"/>
      </w:pPr>
      <w:r>
        <w:rPr>
          <w:rFonts w:ascii="Times New Roman" w:hAnsi="Times New Roman"/>
          <w:b/>
          <w:color w:val="000000"/>
          <w:sz w:val="24"/>
        </w:rPr>
        <w:t xml:space="preserve">CourseFlow Differentiation: </w:t>
      </w:r>
      <w:r>
        <w:rPr>
          <w:rFonts w:ascii="Times New Roman" w:hAnsi="Times New Roman"/>
          <w:color w:val="000000"/>
          <w:sz w:val="24"/>
        </w:rPr>
        <w:t>CourseFlow translates theoretical skill gap analysis into an interactive, visual analytics dashboard using Recharts, allowing academic administrators to visualize competency deficiencies across Generative AI, Cloud Infrastructure, and MLOps at a single glance.</w:t>
      </w:r>
    </w:p>
    <w:p>
      <w:pPr>
        <w:spacing w:before="280" w:after="80"/>
        <w:jc w:val="left"/>
      </w:pPr>
      <w:r>
        <w:rPr>
          <w:rFonts w:ascii="Times New Roman" w:hAnsi="Times New Roman"/>
          <w:b/>
          <w:color w:val="000000"/>
          <w:sz w:val="32"/>
        </w:rPr>
        <w:t>2.3 Comparative Analysis &amp; Research Synthesis</w:t>
      </w:r>
    </w:p>
    <w:p>
      <w:pPr>
        <w:spacing w:line="360" w:lineRule="auto" w:after="120"/>
        <w:jc w:val="both"/>
      </w:pPr>
      <w:r>
        <w:rPr>
          <w:rFonts w:ascii="Times New Roman" w:hAnsi="Times New Roman"/>
          <w:color w:val="000000"/>
          <w:sz w:val="24"/>
        </w:rPr>
        <w:t>Table 2.1 provides a systematic comparison between the ten surveyed academic literature frameworks and CourseFlow across core functional dimensions.</w:t>
      </w:r>
    </w:p>
    <w:p>
      <w:pPr>
        <w:spacing w:before="240" w:after="80"/>
        <w:jc w:val="center"/>
      </w:pPr>
      <w:r>
        <w:rPr>
          <w:rFonts w:ascii="Times New Roman" w:hAnsi="Times New Roman"/>
          <w:b/>
          <w:color w:val="000000"/>
          <w:sz w:val="22"/>
        </w:rPr>
        <w:t>Table 2.1: Comprehensive Literature Comparison of Curriculum Frameworks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tcPr>
          <w:p>
            <w:r>
              <w:rPr>
                <w:b/>
              </w:rPr>
              <w:t>System / Literature Study</w:t>
            </w:r>
          </w:p>
        </w:tc>
        <w:tc>
          <w:tcPr>
            <w:tcW w:type="dxa" w:w="1560"/>
          </w:tcPr>
          <w:p>
            <w:r>
              <w:rPr>
                <w:b/>
              </w:rPr>
              <w:t>Interactive Web Editor</w:t>
            </w:r>
          </w:p>
        </w:tc>
        <w:tc>
          <w:tcPr>
            <w:tcW w:type="dxa" w:w="1560"/>
          </w:tcPr>
          <w:p>
            <w:r>
              <w:rPr>
                <w:b/>
              </w:rPr>
              <w:t>AI Skill Gap Alignment</w:t>
            </w:r>
          </w:p>
        </w:tc>
        <w:tc>
          <w:tcPr>
            <w:tcW w:type="dxa" w:w="1560"/>
          </w:tcPr>
          <w:p>
            <w:r>
              <w:rPr>
                <w:b/>
              </w:rPr>
              <w:t>Visual Delta Version Diff</w:t>
            </w:r>
          </w:p>
        </w:tc>
        <w:tc>
          <w:tcPr>
            <w:tcW w:type="dxa" w:w="1560"/>
          </w:tcPr>
          <w:p>
            <w:r>
              <w:rPr>
                <w:b/>
              </w:rPr>
              <w:t>Public Open Discovery</w:t>
            </w:r>
          </w:p>
        </w:tc>
        <w:tc>
          <w:tcPr>
            <w:tcW w:type="dxa" w:w="1560"/>
          </w:tcPr>
          <w:p>
            <w:r>
              <w:rPr>
                <w:b/>
              </w:rPr>
              <w:t>Multi-Tenant Governance</w:t>
            </w:r>
          </w:p>
        </w:tc>
      </w:tr>
      <w:tr>
        <w:tc>
          <w:tcPr>
            <w:tcW w:type="dxa" w:w="1560"/>
          </w:tcPr>
          <w:p>
            <w:r>
              <w:rPr>
                <w:rFonts w:ascii="Times New Roman" w:hAnsi="Times New Roman"/>
                <w:sz w:val="19"/>
              </w:rPr>
              <w:t>Al Jubori et al. [2024]</w:t>
            </w:r>
          </w:p>
        </w:tc>
        <w:tc>
          <w:tcPr>
            <w:tcW w:type="dxa" w:w="1560"/>
          </w:tcPr>
          <w:p>
            <w:r>
              <w:rPr>
                <w:rFonts w:ascii="Times New Roman" w:hAnsi="Times New Roman"/>
                <w:sz w:val="19"/>
              </w:rPr>
              <w:t>Dashboard Only</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tcPr>
          <w:p>
            <w:r>
              <w:rPr>
                <w:rFonts w:ascii="Times New Roman" w:hAnsi="Times New Roman"/>
                <w:sz w:val="19"/>
              </w:rPr>
              <w:t>Al-Mulla et al. [2025]</w:t>
            </w:r>
          </w:p>
        </w:tc>
        <w:tc>
          <w:tcPr>
            <w:tcW w:type="dxa" w:w="1560"/>
          </w:tcPr>
          <w:p>
            <w:r>
              <w:rPr>
                <w:rFonts w:ascii="Times New Roman" w:hAnsi="Times New Roman"/>
                <w:sz w:val="19"/>
              </w:rPr>
              <w:t>No (Ontology)</w:t>
            </w:r>
          </w:p>
        </w:tc>
        <w:tc>
          <w:tcPr>
            <w:tcW w:type="dxa" w:w="1560"/>
          </w:tcPr>
          <w:p>
            <w:r>
              <w:rPr>
                <w:rFonts w:ascii="Times New Roman" w:hAnsi="Times New Roman"/>
                <w:sz w:val="19"/>
              </w:rPr>
              <w:t>Partial (Queries)</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tcPr>
          <w:p>
            <w:r>
              <w:rPr>
                <w:rFonts w:ascii="Times New Roman" w:hAnsi="Times New Roman"/>
                <w:sz w:val="19"/>
              </w:rPr>
              <w:t>Chen et al. [2024]</w:t>
            </w:r>
          </w:p>
        </w:tc>
        <w:tc>
          <w:tcPr>
            <w:tcW w:type="dxa" w:w="1560"/>
          </w:tcPr>
          <w:p>
            <w:r>
              <w:rPr>
                <w:rFonts w:ascii="Times New Roman" w:hAnsi="Times New Roman"/>
                <w:sz w:val="19"/>
              </w:rPr>
              <w:t>Read-Only Catalog</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Yes</w:t>
            </w:r>
          </w:p>
        </w:tc>
        <w:tc>
          <w:tcPr>
            <w:tcW w:type="dxa" w:w="1560"/>
          </w:tcPr>
          <w:p>
            <w:r>
              <w:rPr>
                <w:rFonts w:ascii="Times New Roman" w:hAnsi="Times New Roman"/>
                <w:sz w:val="19"/>
              </w:rPr>
              <w:t>Yes</w:t>
            </w:r>
          </w:p>
        </w:tc>
      </w:tr>
      <w:tr>
        <w:tc>
          <w:tcPr>
            <w:tcW w:type="dxa" w:w="1560"/>
          </w:tcPr>
          <w:p>
            <w:r>
              <w:rPr>
                <w:rFonts w:ascii="Times New Roman" w:hAnsi="Times New Roman"/>
                <w:sz w:val="19"/>
              </w:rPr>
              <w:t>Haritha et al. [2024]</w:t>
            </w:r>
          </w:p>
        </w:tc>
        <w:tc>
          <w:tcPr>
            <w:tcW w:type="dxa" w:w="1560"/>
          </w:tcPr>
          <w:p>
            <w:r>
              <w:rPr>
                <w:rFonts w:ascii="Times New Roman" w:hAnsi="Times New Roman"/>
                <w:sz w:val="19"/>
              </w:rPr>
              <w:t>No (Offline Mining)</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tcPr>
          <w:p>
            <w:r>
              <w:rPr>
                <w:rFonts w:ascii="Times New Roman" w:hAnsi="Times New Roman"/>
                <w:sz w:val="19"/>
              </w:rPr>
              <w:t>Hermawan et al. [2025]</w:t>
            </w:r>
          </w:p>
        </w:tc>
        <w:tc>
          <w:tcPr>
            <w:tcW w:type="dxa" w:w="1560"/>
          </w:tcPr>
          <w:p>
            <w:r>
              <w:rPr>
                <w:rFonts w:ascii="Times New Roman" w:hAnsi="Times New Roman"/>
                <w:sz w:val="19"/>
              </w:rPr>
              <w:t>Partial (Django Forms)</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tcPr>
          <w:p>
            <w:r>
              <w:rPr>
                <w:rFonts w:ascii="Times New Roman" w:hAnsi="Times New Roman"/>
                <w:sz w:val="19"/>
              </w:rPr>
              <w:t>Li &amp; Wang [2024]</w:t>
            </w:r>
          </w:p>
        </w:tc>
        <w:tc>
          <w:tcPr>
            <w:tcW w:type="dxa" w:w="1560"/>
          </w:tcPr>
          <w:p>
            <w:r>
              <w:rPr>
                <w:rFonts w:ascii="Times New Roman" w:hAnsi="Times New Roman"/>
                <w:sz w:val="19"/>
              </w:rPr>
              <w:t>Yes (Markdown)</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tcPr>
          <w:p>
            <w:r>
              <w:rPr>
                <w:rFonts w:ascii="Times New Roman" w:hAnsi="Times New Roman"/>
                <w:sz w:val="19"/>
              </w:rPr>
              <w:t>Padovano &amp; Cardamone [2024]</w:t>
            </w:r>
          </w:p>
        </w:tc>
        <w:tc>
          <w:tcPr>
            <w:tcW w:type="dxa" w:w="1560"/>
          </w:tcPr>
          <w:p>
            <w:r>
              <w:rPr>
                <w:rFonts w:ascii="Times New Roman" w:hAnsi="Times New Roman"/>
                <w:sz w:val="19"/>
              </w:rPr>
              <w:t>Partial Prototype</w:t>
            </w:r>
          </w:p>
        </w:tc>
        <w:tc>
          <w:tcPr>
            <w:tcW w:type="dxa" w:w="1560"/>
          </w:tcPr>
          <w:p>
            <w:r>
              <w:rPr>
                <w:rFonts w:ascii="Times New Roman" w:hAnsi="Times New Roman"/>
                <w:sz w:val="19"/>
              </w:rPr>
              <w:t>Partial (LLM Prompts)</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tcPr>
          <w:p>
            <w:r>
              <w:rPr>
                <w:rFonts w:ascii="Times New Roman" w:hAnsi="Times New Roman"/>
                <w:sz w:val="19"/>
              </w:rPr>
              <w:t>Raza et al. [2024]</w:t>
            </w:r>
          </w:p>
        </w:tc>
        <w:tc>
          <w:tcPr>
            <w:tcW w:type="dxa" w:w="1560"/>
          </w:tcPr>
          <w:p>
            <w:r>
              <w:rPr>
                <w:rFonts w:ascii="Times New Roman" w:hAnsi="Times New Roman"/>
                <w:sz w:val="19"/>
              </w:rPr>
              <w:t>Yes (Forms)</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tcPr>
          <w:p>
            <w:r>
              <w:rPr>
                <w:rFonts w:ascii="Times New Roman" w:hAnsi="Times New Roman"/>
                <w:sz w:val="19"/>
              </w:rPr>
              <w:t>Tiwari &amp; Kumar [2024]</w:t>
            </w:r>
          </w:p>
        </w:tc>
        <w:tc>
          <w:tcPr>
            <w:tcW w:type="dxa" w:w="1560"/>
          </w:tcPr>
          <w:p>
            <w:r>
              <w:rPr>
                <w:rFonts w:ascii="Times New Roman" w:hAnsi="Times New Roman"/>
                <w:sz w:val="19"/>
              </w:rPr>
              <w:t>Read-Only Portal</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Yes</w:t>
            </w:r>
          </w:p>
        </w:tc>
        <w:tc>
          <w:tcPr>
            <w:tcW w:type="dxa" w:w="1560"/>
          </w:tcPr>
          <w:p>
            <w:r>
              <w:rPr>
                <w:rFonts w:ascii="Times New Roman" w:hAnsi="Times New Roman"/>
                <w:sz w:val="19"/>
              </w:rPr>
              <w:t>No</w:t>
            </w:r>
          </w:p>
        </w:tc>
      </w:tr>
      <w:tr>
        <w:tc>
          <w:tcPr>
            <w:tcW w:type="dxa" w:w="1560"/>
          </w:tcPr>
          <w:p>
            <w:r>
              <w:rPr>
                <w:rFonts w:ascii="Times New Roman" w:hAnsi="Times New Roman"/>
                <w:sz w:val="19"/>
              </w:rPr>
              <w:t>Zhang et al. [2024]</w:t>
            </w:r>
          </w:p>
        </w:tc>
        <w:tc>
          <w:tcPr>
            <w:tcW w:type="dxa" w:w="1560"/>
          </w:tcPr>
          <w:p>
            <w:r>
              <w:rPr>
                <w:rFonts w:ascii="Times New Roman" w:hAnsi="Times New Roman"/>
                <w:sz w:val="19"/>
              </w:rPr>
              <w:t>No (Offline GNN)</w:t>
            </w:r>
          </w:p>
        </w:tc>
        <w:tc>
          <w:tcPr>
            <w:tcW w:type="dxa" w:w="1560"/>
          </w:tcPr>
          <w:p>
            <w:r>
              <w:rPr>
                <w:rFonts w:ascii="Times New Roman" w:hAnsi="Times New Roman"/>
                <w:sz w:val="19"/>
              </w:rPr>
              <w:t>Yes (Graph Algorithm)</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c>
          <w:tcPr>
            <w:tcW w:type="dxa" w:w="1560"/>
          </w:tcPr>
          <w:p>
            <w:r>
              <w:rPr>
                <w:rFonts w:ascii="Times New Roman" w:hAnsi="Times New Roman"/>
                <w:sz w:val="19"/>
              </w:rPr>
              <w:t>No</w:t>
            </w:r>
          </w:p>
        </w:tc>
      </w:tr>
      <w:tr>
        <w:tc>
          <w:tcPr>
            <w:tcW w:type="dxa" w:w="1560"/>
            <w:shd w:fill="F0FDF4"/>
          </w:tcPr>
          <w:p>
            <w:r>
              <w:rPr>
                <w:rFonts w:ascii="Times New Roman" w:hAnsi="Times New Roman"/>
                <w:b/>
                <w:sz w:val="19"/>
              </w:rPr>
              <w:t>CourseFlow (Our Work)</w:t>
            </w:r>
          </w:p>
        </w:tc>
        <w:tc>
          <w:tcPr>
            <w:tcW w:type="dxa" w:w="1560"/>
            <w:shd w:fill="F0FDF4"/>
          </w:tcPr>
          <w:p>
            <w:r>
              <w:rPr>
                <w:rFonts w:ascii="Times New Roman" w:hAnsi="Times New Roman"/>
                <w:b/>
                <w:sz w:val="19"/>
              </w:rPr>
              <w:t>Yes (Interactive Tree)</w:t>
            </w:r>
          </w:p>
        </w:tc>
        <w:tc>
          <w:tcPr>
            <w:tcW w:type="dxa" w:w="1560"/>
            <w:shd w:fill="F0FDF4"/>
          </w:tcPr>
          <w:p>
            <w:r>
              <w:rPr>
                <w:rFonts w:ascii="Times New Roman" w:hAnsi="Times New Roman"/>
                <w:b/>
                <w:sz w:val="19"/>
              </w:rPr>
              <w:t>Yes (Multi-Level Matrix)</w:t>
            </w:r>
          </w:p>
        </w:tc>
        <w:tc>
          <w:tcPr>
            <w:tcW w:type="dxa" w:w="1560"/>
            <w:shd w:fill="F0FDF4"/>
          </w:tcPr>
          <w:p>
            <w:r>
              <w:rPr>
                <w:rFonts w:ascii="Times New Roman" w:hAnsi="Times New Roman"/>
                <w:b/>
                <w:sz w:val="19"/>
              </w:rPr>
              <w:t>Yes (Side-by-Side &amp; Delta)</w:t>
            </w:r>
          </w:p>
        </w:tc>
        <w:tc>
          <w:tcPr>
            <w:tcW w:type="dxa" w:w="1560"/>
            <w:shd w:fill="F0FDF4"/>
          </w:tcPr>
          <w:p>
            <w:r>
              <w:rPr>
                <w:rFonts w:ascii="Times New Roman" w:hAnsi="Times New Roman"/>
                <w:b/>
                <w:sz w:val="19"/>
              </w:rPr>
              <w:t>Yes (Public Open Catalog)</w:t>
            </w:r>
          </w:p>
        </w:tc>
        <w:tc>
          <w:tcPr>
            <w:tcW w:type="dxa" w:w="1560"/>
            <w:shd w:fill="F0FDF4"/>
          </w:tcPr>
          <w:p>
            <w:r>
              <w:rPr>
                <w:rFonts w:ascii="Times New Roman" w:hAnsi="Times New Roman"/>
                <w:b/>
                <w:sz w:val="19"/>
              </w:rPr>
              <w:t>Yes (Fine-Grained RBAC)</w:t>
            </w:r>
          </w:p>
        </w:tc>
      </w:tr>
    </w:tbl>
    <w:p>
      <w:pPr>
        <w:spacing w:before="280" w:after="80"/>
        <w:jc w:val="left"/>
      </w:pPr>
      <w:r>
        <w:rPr>
          <w:rFonts w:ascii="Times New Roman" w:hAnsi="Times New Roman"/>
          <w:b/>
          <w:color w:val="000000"/>
          <w:sz w:val="32"/>
        </w:rPr>
        <w:t>2.4 Chapter Summary</w:t>
      </w:r>
    </w:p>
    <w:p>
      <w:pPr>
        <w:spacing w:line="360" w:lineRule="auto" w:after="120"/>
        <w:jc w:val="both"/>
      </w:pPr>
      <w:r>
        <w:rPr>
          <w:rFonts w:ascii="Times New Roman" w:hAnsi="Times New Roman"/>
          <w:color w:val="000000"/>
          <w:sz w:val="24"/>
        </w:rPr>
        <w:t>The systematic survey confirms that while individual components—such as outcome mapping, static web catalogs, or offline text mining—have been investigated in isolation, no unified platform integrates automated PDF parsing, interactive tree syllabus authoring, real-time AICTE benchmark comparison, visual version revision diffing, and multi-tier role governance. CourseFlow directly addresses this unfulfilled need.</w:t>
      </w:r>
    </w:p>
    <w:p>
      <w:r>
        <w:br w:type="page"/>
      </w:r>
    </w:p>
    <w:p>
      <w:pPr>
        <w:spacing w:before="240" w:after="80"/>
        <w:jc w:val="center"/>
      </w:pPr>
      <w:r>
        <w:rPr>
          <w:rFonts w:ascii="Times New Roman" w:hAnsi="Times New Roman"/>
          <w:b/>
          <w:color w:val="000000"/>
          <w:sz w:val="36"/>
        </w:rPr>
        <w:t>CHAPTER-3</w:t>
        <w:br/>
      </w:r>
      <w:r>
        <w:rPr>
          <w:rFonts w:ascii="Times New Roman" w:hAnsi="Times New Roman"/>
          <w:b/>
          <w:color w:val="000000"/>
          <w:sz w:val="36"/>
        </w:rPr>
        <w:t>RESEARCH GAPS OF EXISTING METHODS</w:t>
      </w:r>
    </w:p>
    <w:p>
      <w:pPr>
        <w:spacing w:before="280" w:after="80"/>
        <w:jc w:val="left"/>
      </w:pPr>
      <w:r>
        <w:rPr>
          <w:rFonts w:ascii="Times New Roman" w:hAnsi="Times New Roman"/>
          <w:b/>
          <w:color w:val="000000"/>
          <w:sz w:val="32"/>
        </w:rPr>
        <w:t>3.1 Analysis of Document-Centric Bottlenecks</w:t>
      </w:r>
    </w:p>
    <w:p>
      <w:pPr>
        <w:spacing w:line="360" w:lineRule="auto" w:after="120"/>
        <w:jc w:val="both"/>
      </w:pPr>
      <w:r>
        <w:rPr>
          <w:rFonts w:ascii="Times New Roman" w:hAnsi="Times New Roman"/>
          <w:color w:val="000000"/>
          <w:sz w:val="24"/>
        </w:rPr>
        <w:t>Academic curriculum development in technical universities remains shackled to static document formats. AICTE releases model curricula as monolithic 200–300 page PDFs. Converting these guidelines into institutional regulations requires academic committees to manually re-type course descriptions, learning outcomes, and credit allocations into local word processors. This introduces transcription errors, disrupts standardized nomenclature, and requires 2 to 3 hours per subject outline.</w:t>
      </w:r>
    </w:p>
    <w:p>
      <w:pPr>
        <w:spacing w:before="280" w:after="80"/>
        <w:jc w:val="left"/>
      </w:pPr>
      <w:r>
        <w:rPr>
          <w:rFonts w:ascii="Times New Roman" w:hAnsi="Times New Roman"/>
          <w:b/>
          <w:color w:val="000000"/>
          <w:sz w:val="32"/>
        </w:rPr>
        <w:t>3.2 Absence of Real-Time Version Control &amp; Visual Diffs</w:t>
      </w:r>
    </w:p>
    <w:p>
      <w:pPr>
        <w:spacing w:line="360" w:lineRule="auto" w:after="120"/>
        <w:jc w:val="both"/>
      </w:pPr>
      <w:r>
        <w:rPr>
          <w:rFonts w:ascii="Times New Roman" w:hAnsi="Times New Roman"/>
          <w:color w:val="000000"/>
          <w:sz w:val="24"/>
        </w:rPr>
        <w:t>In traditional university setups, course updates are tracked using track changes in Word files or physical redlines. When a faculty member updates a syllabus and submits it to the Head of Department (HOD) for Board of Studies approval, there is no automated version delta mechanism. The HOD is forced to sit and read through all five modules to spot what changed. Furthermore, when new faculty members join a department, they have no visibility into what topics were added or pruned in recent academic years, creating institutional amnesia.</w:t>
      </w:r>
    </w:p>
    <w:p>
      <w:pPr>
        <w:spacing w:before="280" w:after="80"/>
        <w:jc w:val="left"/>
      </w:pPr>
      <w:r>
        <w:rPr>
          <w:rFonts w:ascii="Times New Roman" w:hAnsi="Times New Roman"/>
          <w:b/>
          <w:color w:val="000000"/>
          <w:sz w:val="32"/>
        </w:rPr>
        <w:t>3.3 Ineffective Emerging Industry Skill Gap Detection</w:t>
      </w:r>
    </w:p>
    <w:p>
      <w:pPr>
        <w:spacing w:line="360" w:lineRule="auto" w:after="120"/>
        <w:jc w:val="both"/>
      </w:pPr>
      <w:r>
        <w:rPr>
          <w:rFonts w:ascii="Times New Roman" w:hAnsi="Times New Roman"/>
          <w:color w:val="000000"/>
          <w:sz w:val="24"/>
        </w:rPr>
        <w:t>Modern computing curricula require continuous alignment with rapid industrial shifts in Cloud-Native Architecture, MLOps, Container Security, and Generative AI. Manual syllabus reviews rely heavily on subjective committee member knowledge, often missing critical gaps in distributed algorithms, vector databases, or prompt engineering. Existing academic ERPs possess no benchmark models to evaluate syllabus depth algorithmically.</w:t>
      </w:r>
    </w:p>
    <w:p>
      <w:pPr>
        <w:spacing w:before="280" w:after="80"/>
        <w:jc w:val="left"/>
      </w:pPr>
      <w:r>
        <w:rPr>
          <w:rFonts w:ascii="Times New Roman" w:hAnsi="Times New Roman"/>
          <w:b/>
          <w:color w:val="000000"/>
          <w:sz w:val="32"/>
        </w:rPr>
        <w:t>3.4 Chapter Summary</w:t>
      </w:r>
    </w:p>
    <w:p>
      <w:pPr>
        <w:spacing w:line="360" w:lineRule="auto" w:after="120"/>
        <w:jc w:val="both"/>
      </w:pPr>
      <w:r>
        <w:rPr>
          <w:rFonts w:ascii="Times New Roman" w:hAnsi="Times New Roman"/>
          <w:color w:val="000000"/>
          <w:sz w:val="24"/>
        </w:rPr>
        <w:t>These three core research gaps—document-centric manual friction, lack of revision version control, and latent skill gap blindspots—demonstrate the urgent necessity for a comprehensive, automated digital platform.</w:t>
      </w:r>
    </w:p>
    <w:p>
      <w:r>
        <w:br w:type="page"/>
      </w:r>
    </w:p>
    <w:p>
      <w:pPr>
        <w:spacing w:before="240" w:after="80"/>
        <w:jc w:val="center"/>
      </w:pPr>
      <w:r>
        <w:rPr>
          <w:rFonts w:ascii="Times New Roman" w:hAnsi="Times New Roman"/>
          <w:b/>
          <w:color w:val="000000"/>
          <w:sz w:val="36"/>
        </w:rPr>
        <w:t>CHAPTER-4</w:t>
        <w:br/>
      </w:r>
      <w:r>
        <w:rPr>
          <w:rFonts w:ascii="Times New Roman" w:hAnsi="Times New Roman"/>
          <w:b/>
          <w:color w:val="000000"/>
          <w:sz w:val="36"/>
        </w:rPr>
        <w:t>PROPOSED METHODOLOGY</w:t>
      </w:r>
    </w:p>
    <w:p>
      <w:pPr>
        <w:spacing w:before="280" w:after="80"/>
        <w:jc w:val="left"/>
      </w:pPr>
      <w:r>
        <w:rPr>
          <w:rFonts w:ascii="Times New Roman" w:hAnsi="Times New Roman"/>
          <w:b/>
          <w:color w:val="000000"/>
          <w:sz w:val="32"/>
        </w:rPr>
        <w:t>4.1 Methodology Outline &amp; Architectural Blueprint</w:t>
      </w:r>
    </w:p>
    <w:p>
      <w:pPr>
        <w:spacing w:line="360" w:lineRule="auto" w:after="120"/>
        <w:jc w:val="both"/>
      </w:pPr>
      <w:r>
        <w:rPr>
          <w:rFonts w:ascii="Times New Roman" w:hAnsi="Times New Roman"/>
          <w:color w:val="000000"/>
          <w:sz w:val="24"/>
        </w:rPr>
        <w:t>CourseFlow adopts a modular, component-driven Single Page Application (SPA) methodology engineered with React 19 and Vite. The operational pipeline transitions paper-based academic workflows into an automated four-stage digital lifecycle: (1) Ingestion &amp; Verification, (2) Hierarchical Authoring, (3) AI Benchmark Alignment, and (4) Versioned Ratification.</w:t>
      </w:r>
    </w:p>
    <w:p>
      <w:pPr>
        <w:spacing w:before="280" w:after="80"/>
        <w:jc w:val="left"/>
      </w:pPr>
      <w:r>
        <w:rPr>
          <w:rFonts w:ascii="Times New Roman" w:hAnsi="Times New Roman"/>
          <w:b/>
          <w:color w:val="000000"/>
          <w:sz w:val="32"/>
        </w:rPr>
        <w:t>4.2 Tools, Technologies, and Frameworks Used</w:t>
      </w:r>
    </w:p>
    <w:p>
      <w:pPr>
        <w:spacing w:line="360" w:lineRule="auto" w:after="120"/>
        <w:jc w:val="both"/>
      </w:pPr>
      <w:r>
        <w:rPr>
          <w:rFonts w:ascii="Times New Roman" w:hAnsi="Times New Roman"/>
          <w:b/>
          <w:color w:val="000000"/>
          <w:sz w:val="24"/>
        </w:rPr>
        <w:t xml:space="preserve">Technology Stack Rationale: </w:t>
      </w:r>
      <w:r>
        <w:rPr>
          <w:rFonts w:ascii="Times New Roman" w:hAnsi="Times New Roman"/>
          <w:color w:val="000000"/>
          <w:sz w:val="24"/>
        </w:rPr>
        <w:t>CourseFlow leverages a curated, high-performance technology stack:</w:t>
      </w:r>
    </w:p>
    <w:p>
      <w:pPr>
        <w:spacing w:line="360" w:lineRule="auto" w:after="120"/>
        <w:jc w:val="both"/>
      </w:pPr>
      <w:r>
        <w:rPr>
          <w:rFonts w:ascii="Times New Roman" w:hAnsi="Times New Roman"/>
          <w:b/>
          <w:color w:val="000000"/>
          <w:sz w:val="24"/>
        </w:rPr>
        <w:t xml:space="preserve">React 19 &amp; Vite 8: </w:t>
      </w:r>
      <w:r>
        <w:rPr>
          <w:rFonts w:ascii="Times New Roman" w:hAnsi="Times New Roman"/>
          <w:color w:val="000000"/>
          <w:sz w:val="24"/>
        </w:rPr>
        <w:t>Provides fine-grained reactive state handling, Concurrent Rendering, and optimized DOM reconciliation for complex course hierarchy trees.</w:t>
      </w:r>
    </w:p>
    <w:p>
      <w:pPr>
        <w:spacing w:line="360" w:lineRule="auto" w:after="120"/>
        <w:jc w:val="both"/>
      </w:pPr>
      <w:r>
        <w:rPr>
          <w:rFonts w:ascii="Times New Roman" w:hAnsi="Times New Roman"/>
          <w:b/>
          <w:color w:val="000000"/>
          <w:sz w:val="24"/>
        </w:rPr>
        <w:t xml:space="preserve">Vanilla CSS &amp; Tailored Design System: </w:t>
      </w:r>
      <w:r>
        <w:rPr>
          <w:rFonts w:ascii="Times New Roman" w:hAnsi="Times New Roman"/>
          <w:color w:val="000000"/>
          <w:sz w:val="24"/>
        </w:rPr>
        <w:t>Ensures a standardized 16px base font size, clean dark typography (#020617), smooth responsive grids, and professional glassmorphic elevation without bloated runtime CSS.</w:t>
      </w:r>
    </w:p>
    <w:p>
      <w:pPr>
        <w:spacing w:line="360" w:lineRule="auto" w:after="120"/>
        <w:jc w:val="both"/>
      </w:pPr>
      <w:r>
        <w:rPr>
          <w:rFonts w:ascii="Times New Roman" w:hAnsi="Times New Roman"/>
          <w:b/>
          <w:color w:val="000000"/>
          <w:sz w:val="24"/>
        </w:rPr>
        <w:t xml:space="preserve">React Router v7: </w:t>
      </w:r>
      <w:r>
        <w:rPr>
          <w:rFonts w:ascii="Times New Roman" w:hAnsi="Times New Roman"/>
          <w:color w:val="000000"/>
          <w:sz w:val="24"/>
        </w:rPr>
        <w:t>Enforces client-side routing, protected navigation guards, and preserves application state across deep administrative paths without browser reload penalties.</w:t>
      </w:r>
    </w:p>
    <w:p>
      <w:pPr>
        <w:spacing w:line="360" w:lineRule="auto" w:after="120"/>
        <w:jc w:val="both"/>
      </w:pPr>
      <w:r>
        <w:rPr>
          <w:rFonts w:ascii="Times New Roman" w:hAnsi="Times New Roman"/>
          <w:b/>
          <w:color w:val="000000"/>
          <w:sz w:val="24"/>
        </w:rPr>
        <w:t xml:space="preserve">Recharts Analytics Library: </w:t>
      </w:r>
      <w:r>
        <w:rPr>
          <w:rFonts w:ascii="Times New Roman" w:hAnsi="Times New Roman"/>
          <w:color w:val="000000"/>
          <w:sz w:val="24"/>
        </w:rPr>
        <w:t>Powers interactive skill competency bar charts, radial radar matrices, and credit distribution visualizers.</w:t>
      </w:r>
    </w:p>
    <w:p>
      <w:pPr>
        <w:spacing w:line="360" w:lineRule="auto" w:after="120"/>
        <w:jc w:val="both"/>
      </w:pPr>
      <w:r>
        <w:rPr>
          <w:rFonts w:ascii="Times New Roman" w:hAnsi="Times New Roman"/>
          <w:b/>
          <w:color w:val="000000"/>
          <w:sz w:val="24"/>
        </w:rPr>
        <w:t xml:space="preserve">Python 3.13 &amp; FastAPI: </w:t>
      </w:r>
      <w:r>
        <w:rPr>
          <w:rFonts w:ascii="Times New Roman" w:hAnsi="Times New Roman"/>
          <w:color w:val="000000"/>
          <w:sz w:val="24"/>
        </w:rPr>
        <w:t>High-performance Python ASGI backend exposing asynchronous RESTful endpoints for PDF extraction, Bloom's cognitive taxonomy classification, AI recommendations, and curriculum cache persistence.</w:t>
      </w:r>
    </w:p>
    <w:p>
      <w:pPr>
        <w:spacing w:before="280" w:after="80"/>
        <w:jc w:val="left"/>
      </w:pPr>
      <w:r>
        <w:rPr>
          <w:rFonts w:ascii="Times New Roman" w:hAnsi="Times New Roman"/>
          <w:b/>
          <w:color w:val="000000"/>
          <w:sz w:val="32"/>
        </w:rPr>
        <w:t>4.3 Proposed Multi-Tier System Architecture</w:t>
      </w:r>
    </w:p>
    <w:p>
      <w:pPr>
        <w:spacing w:line="360" w:lineRule="auto" w:after="120"/>
        <w:jc w:val="both"/>
      </w:pPr>
      <w:r>
        <w:rPr>
          <w:rFonts w:ascii="Times New Roman" w:hAnsi="Times New Roman"/>
          <w:color w:val="000000"/>
          <w:sz w:val="24"/>
        </w:rPr>
        <w:t>As visualized in Figure 4.1, the CourseFlow architecture is structured into four distinct layers: Layer 1 (Presentation Layer), Layer 2 (Routing &amp; Workspace Guard), Layer 3 (Asynchronous Service Engine), and Layer 4 (Data Schemas &amp; Model Store).</w:t>
      </w:r>
    </w:p>
    <w:p>
      <w:pPr>
        <w:spacing w:before="80" w:after="240"/>
        <w:jc w:val="center"/>
      </w:pPr>
      <w:r>
        <w:rPr>
          <w:rFonts w:ascii="Times New Roman" w:hAnsi="Times New Roman"/>
          <w:b/>
          <w:color w:val="000000"/>
          <w:sz w:val="22"/>
        </w:rPr>
        <w:t>Figure 4.1: System Architecture Design Flow Diagram</w:t>
      </w:r>
    </w:p>
    <w:p>
      <w:pPr>
        <w:spacing w:before="280" w:after="80"/>
        <w:jc w:val="left"/>
      </w:pPr>
      <w:r>
        <w:rPr>
          <w:rFonts w:ascii="Times New Roman" w:hAnsi="Times New Roman"/>
          <w:b/>
          <w:color w:val="000000"/>
          <w:sz w:val="32"/>
        </w:rPr>
        <w:t>4.4 Data Collection, Extraction &amp; Processing Pipeline</w:t>
      </w:r>
    </w:p>
    <w:p>
      <w:pPr>
        <w:spacing w:line="360" w:lineRule="auto" w:after="120"/>
        <w:jc w:val="both"/>
      </w:pPr>
      <w:r>
        <w:rPr>
          <w:rFonts w:ascii="Times New Roman" w:hAnsi="Times New Roman"/>
          <w:color w:val="000000"/>
          <w:sz w:val="24"/>
        </w:rPr>
        <w:t>The syllabus ingestion pipeline accepts institutional syllabus PDFs (such as the autonomous Presidency University 2023–2027 CSE regulation). Using pypdf and regex-guided structural heuristics, the pipeline detects semester boundaries, extracts course codes (e.g., CSE2007, CSE2001), segregates exact Module 1 to 5 topic lists, extracts Course Outcomes (CO1–CO5), identifies prescribed textbooks, and computes credit totals.</w:t>
      </w:r>
    </w:p>
    <w:p>
      <w:pPr>
        <w:spacing w:before="280" w:after="80"/>
        <w:jc w:val="left"/>
      </w:pPr>
      <w:r>
        <w:rPr>
          <w:rFonts w:ascii="Times New Roman" w:hAnsi="Times New Roman"/>
          <w:b/>
          <w:color w:val="000000"/>
          <w:sz w:val="32"/>
        </w:rPr>
        <w:t>4.5 Data Set &amp; AICTE Curriculum Schema Description</w:t>
      </w:r>
    </w:p>
    <w:p>
      <w:pPr>
        <w:spacing w:line="360" w:lineRule="auto" w:after="120"/>
        <w:jc w:val="both"/>
      </w:pPr>
      <w:r>
        <w:rPr>
          <w:rFonts w:ascii="Times New Roman" w:hAnsi="Times New Roman"/>
          <w:color w:val="000000"/>
          <w:sz w:val="24"/>
        </w:rPr>
        <w:t>The system data model is formally represented as a deeply nested hierarchical JSON schema enforcing strict academic constraints:</w:t>
      </w:r>
    </w:p>
    <w:p>
      <w:pPr>
        <w:spacing w:before="80" w:after="240"/>
        <w:jc w:val="center"/>
      </w:pPr>
      <w:r>
        <w:rPr>
          <w:rFonts w:ascii="Times New Roman" w:hAnsi="Times New Roman"/>
          <w:b/>
          <w:color w:val="000000"/>
          <w:sz w:val="22"/>
        </w:rPr>
        <w:t>Figure 4.2: Hierarchical Model Data Schema Definition (JSON)</w:t>
      </w:r>
    </w:p>
    <w:p>
      <w:pPr>
        <w:spacing w:before="240" w:after="80"/>
        <w:jc w:val="center"/>
      </w:pPr>
      <w:r>
        <w:rPr>
          <w:rFonts w:ascii="Times New Roman" w:hAnsi="Times New Roman"/>
          <w:b/>
          <w:color w:val="000000"/>
          <w:sz w:val="22"/>
        </w:rPr>
        <w:t>Table 4.1: Role-Based Access Control (RBAC) Permission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872"/>
          </w:tcPr>
          <w:p>
            <w:r>
              <w:rPr>
                <w:b/>
              </w:rPr>
              <w:t>Feature / Module</w:t>
            </w:r>
          </w:p>
        </w:tc>
        <w:tc>
          <w:tcPr>
            <w:tcW w:type="dxa" w:w="1872"/>
          </w:tcPr>
          <w:p>
            <w:r>
              <w:rPr>
                <w:b/>
              </w:rPr>
              <w:t>University Admin</w:t>
            </w:r>
          </w:p>
        </w:tc>
        <w:tc>
          <w:tcPr>
            <w:tcW w:type="dxa" w:w="1872"/>
          </w:tcPr>
          <w:p>
            <w:r>
              <w:rPr>
                <w:b/>
              </w:rPr>
              <w:t>Faculty Expert</w:t>
            </w:r>
          </w:p>
        </w:tc>
        <w:tc>
          <w:tcPr>
            <w:tcW w:type="dxa" w:w="1872"/>
          </w:tcPr>
          <w:p>
            <w:r>
              <w:rPr>
                <w:b/>
              </w:rPr>
              <w:t>Super Admin</w:t>
            </w:r>
          </w:p>
        </w:tc>
        <w:tc>
          <w:tcPr>
            <w:tcW w:type="dxa" w:w="1872"/>
          </w:tcPr>
          <w:p>
            <w:r>
              <w:rPr>
                <w:b/>
              </w:rPr>
              <w:t>Public Viewer</w:t>
            </w:r>
          </w:p>
        </w:tc>
      </w:tr>
      <w:tr>
        <w:tc>
          <w:tcPr>
            <w:tcW w:type="dxa" w:w="1872"/>
          </w:tcPr>
          <w:p>
            <w:r>
              <w:rPr>
                <w:rFonts w:ascii="Times New Roman" w:hAnsi="Times New Roman"/>
                <w:sz w:val="19"/>
              </w:rPr>
              <w:t>Public Catalog Discovery (/)</w:t>
            </w:r>
          </w:p>
        </w:tc>
        <w:tc>
          <w:tcPr>
            <w:tcW w:type="dxa" w:w="1872"/>
          </w:tcPr>
          <w:p>
            <w:r>
              <w:rPr>
                <w:rFonts w:ascii="Times New Roman" w:hAnsi="Times New Roman"/>
                <w:sz w:val="19"/>
              </w:rPr>
              <w:t>Full Access</w:t>
            </w:r>
          </w:p>
        </w:tc>
        <w:tc>
          <w:tcPr>
            <w:tcW w:type="dxa" w:w="1872"/>
          </w:tcPr>
          <w:p>
            <w:r>
              <w:rPr>
                <w:rFonts w:ascii="Times New Roman" w:hAnsi="Times New Roman"/>
                <w:sz w:val="19"/>
              </w:rPr>
              <w:t>Full Access</w:t>
            </w:r>
          </w:p>
        </w:tc>
        <w:tc>
          <w:tcPr>
            <w:tcW w:type="dxa" w:w="1872"/>
          </w:tcPr>
          <w:p>
            <w:r>
              <w:rPr>
                <w:rFonts w:ascii="Times New Roman" w:hAnsi="Times New Roman"/>
                <w:sz w:val="19"/>
              </w:rPr>
              <w:t>Full Access</w:t>
            </w:r>
          </w:p>
        </w:tc>
        <w:tc>
          <w:tcPr>
            <w:tcW w:type="dxa" w:w="1872"/>
          </w:tcPr>
          <w:p>
            <w:r>
              <w:rPr>
                <w:rFonts w:ascii="Times New Roman" w:hAnsi="Times New Roman"/>
                <w:sz w:val="19"/>
              </w:rPr>
              <w:t>Read-Only</w:t>
            </w:r>
          </w:p>
        </w:tc>
      </w:tr>
      <w:tr>
        <w:tc>
          <w:tcPr>
            <w:tcW w:type="dxa" w:w="1872"/>
          </w:tcPr>
          <w:p>
            <w:r>
              <w:rPr>
                <w:rFonts w:ascii="Times New Roman" w:hAnsi="Times New Roman"/>
                <w:sz w:val="19"/>
              </w:rPr>
              <w:t>PDF Syllabus Upload (/upload)</w:t>
            </w:r>
          </w:p>
        </w:tc>
        <w:tc>
          <w:tcPr>
            <w:tcW w:type="dxa" w:w="1872"/>
          </w:tcPr>
          <w:p>
            <w:r>
              <w:rPr>
                <w:rFonts w:ascii="Times New Roman" w:hAnsi="Times New Roman"/>
                <w:sz w:val="19"/>
              </w:rPr>
              <w:t>Full Access</w:t>
            </w:r>
          </w:p>
        </w:tc>
        <w:tc>
          <w:tcPr>
            <w:tcW w:type="dxa" w:w="1872"/>
          </w:tcPr>
          <w:p>
            <w:r>
              <w:rPr>
                <w:rFonts w:ascii="Times New Roman" w:hAnsi="Times New Roman"/>
                <w:sz w:val="19"/>
              </w:rPr>
              <w:t>No Access</w:t>
            </w:r>
          </w:p>
        </w:tc>
        <w:tc>
          <w:tcPr>
            <w:tcW w:type="dxa" w:w="1872"/>
          </w:tcPr>
          <w:p>
            <w:r>
              <w:rPr>
                <w:rFonts w:ascii="Times New Roman" w:hAnsi="Times New Roman"/>
                <w:sz w:val="19"/>
              </w:rPr>
              <w:t>Full Access</w:t>
            </w:r>
          </w:p>
        </w:tc>
        <w:tc>
          <w:tcPr>
            <w:tcW w:type="dxa" w:w="1872"/>
          </w:tcPr>
          <w:p>
            <w:r>
              <w:rPr>
                <w:rFonts w:ascii="Times New Roman" w:hAnsi="Times New Roman"/>
                <w:sz w:val="19"/>
              </w:rPr>
              <w:t>No Access</w:t>
            </w:r>
          </w:p>
        </w:tc>
      </w:tr>
      <w:tr>
        <w:tc>
          <w:tcPr>
            <w:tcW w:type="dxa" w:w="1872"/>
          </w:tcPr>
          <w:p>
            <w:r>
              <w:rPr>
                <w:rFonts w:ascii="Times New Roman" w:hAnsi="Times New Roman"/>
                <w:sz w:val="19"/>
              </w:rPr>
              <w:t>Tree Syllabus Editor (/builder)</w:t>
            </w:r>
          </w:p>
        </w:tc>
        <w:tc>
          <w:tcPr>
            <w:tcW w:type="dxa" w:w="1872"/>
          </w:tcPr>
          <w:p>
            <w:r>
              <w:rPr>
                <w:rFonts w:ascii="Times New Roman" w:hAnsi="Times New Roman"/>
                <w:sz w:val="19"/>
              </w:rPr>
              <w:t>All 8 Semesters</w:t>
            </w:r>
          </w:p>
        </w:tc>
        <w:tc>
          <w:tcPr>
            <w:tcW w:type="dxa" w:w="1872"/>
          </w:tcPr>
          <w:p>
            <w:r>
              <w:rPr>
                <w:rFonts w:ascii="Times New Roman" w:hAnsi="Times New Roman"/>
                <w:sz w:val="19"/>
              </w:rPr>
              <w:t>Assigned Subjects</w:t>
            </w:r>
          </w:p>
        </w:tc>
        <w:tc>
          <w:tcPr>
            <w:tcW w:type="dxa" w:w="1872"/>
          </w:tcPr>
          <w:p>
            <w:r>
              <w:rPr>
                <w:rFonts w:ascii="Times New Roman" w:hAnsi="Times New Roman"/>
                <w:sz w:val="19"/>
              </w:rPr>
              <w:t>Read-Only View</w:t>
            </w:r>
          </w:p>
        </w:tc>
        <w:tc>
          <w:tcPr>
            <w:tcW w:type="dxa" w:w="1872"/>
          </w:tcPr>
          <w:p>
            <w:r>
              <w:rPr>
                <w:rFonts w:ascii="Times New Roman" w:hAnsi="Times New Roman"/>
                <w:sz w:val="19"/>
              </w:rPr>
              <w:t>No Access</w:t>
            </w:r>
          </w:p>
        </w:tc>
      </w:tr>
      <w:tr>
        <w:tc>
          <w:tcPr>
            <w:tcW w:type="dxa" w:w="1872"/>
          </w:tcPr>
          <w:p>
            <w:r>
              <w:rPr>
                <w:rFonts w:ascii="Times New Roman" w:hAnsi="Times New Roman"/>
                <w:sz w:val="19"/>
              </w:rPr>
              <w:t>Visual Revision Diff (/versions)</w:t>
            </w:r>
          </w:p>
        </w:tc>
        <w:tc>
          <w:tcPr>
            <w:tcW w:type="dxa" w:w="1872"/>
          </w:tcPr>
          <w:p>
            <w:r>
              <w:rPr>
                <w:rFonts w:ascii="Times New Roman" w:hAnsi="Times New Roman"/>
                <w:sz w:val="19"/>
              </w:rPr>
              <w:t>Create &amp; Publish</w:t>
            </w:r>
          </w:p>
        </w:tc>
        <w:tc>
          <w:tcPr>
            <w:tcW w:type="dxa" w:w="1872"/>
          </w:tcPr>
          <w:p>
            <w:r>
              <w:rPr>
                <w:rFonts w:ascii="Times New Roman" w:hAnsi="Times New Roman"/>
                <w:sz w:val="19"/>
              </w:rPr>
              <w:t>Draft &amp; Propose</w:t>
            </w:r>
          </w:p>
        </w:tc>
        <w:tc>
          <w:tcPr>
            <w:tcW w:type="dxa" w:w="1872"/>
          </w:tcPr>
          <w:p>
            <w:r>
              <w:rPr>
                <w:rFonts w:ascii="Times New Roman" w:hAnsi="Times New Roman"/>
                <w:sz w:val="19"/>
              </w:rPr>
              <w:t>Audit &amp; Review</w:t>
            </w:r>
          </w:p>
        </w:tc>
        <w:tc>
          <w:tcPr>
            <w:tcW w:type="dxa" w:w="1872"/>
          </w:tcPr>
          <w:p>
            <w:r>
              <w:rPr>
                <w:rFonts w:ascii="Times New Roman" w:hAnsi="Times New Roman"/>
                <w:sz w:val="19"/>
              </w:rPr>
              <w:t>View Published</w:t>
            </w:r>
          </w:p>
        </w:tc>
      </w:tr>
      <w:tr>
        <w:tc>
          <w:tcPr>
            <w:tcW w:type="dxa" w:w="1872"/>
          </w:tcPr>
          <w:p>
            <w:r>
              <w:rPr>
                <w:rFonts w:ascii="Times New Roman" w:hAnsi="Times New Roman"/>
                <w:sz w:val="19"/>
              </w:rPr>
              <w:t>AI Benchmark Matrix (/analysis)</w:t>
            </w:r>
          </w:p>
        </w:tc>
        <w:tc>
          <w:tcPr>
            <w:tcW w:type="dxa" w:w="1872"/>
          </w:tcPr>
          <w:p>
            <w:r>
              <w:rPr>
                <w:rFonts w:ascii="Times New Roman" w:hAnsi="Times New Roman"/>
                <w:sz w:val="19"/>
              </w:rPr>
              <w:t>Full Access</w:t>
            </w:r>
          </w:p>
        </w:tc>
        <w:tc>
          <w:tcPr>
            <w:tcW w:type="dxa" w:w="1872"/>
          </w:tcPr>
          <w:p>
            <w:r>
              <w:rPr>
                <w:rFonts w:ascii="Times New Roman" w:hAnsi="Times New Roman"/>
                <w:sz w:val="19"/>
              </w:rPr>
              <w:t>Assigned Courses</w:t>
            </w:r>
          </w:p>
        </w:tc>
        <w:tc>
          <w:tcPr>
            <w:tcW w:type="dxa" w:w="1872"/>
          </w:tcPr>
          <w:p>
            <w:r>
              <w:rPr>
                <w:rFonts w:ascii="Times New Roman" w:hAnsi="Times New Roman"/>
                <w:sz w:val="19"/>
              </w:rPr>
              <w:t>National Overview</w:t>
            </w:r>
          </w:p>
        </w:tc>
        <w:tc>
          <w:tcPr>
            <w:tcW w:type="dxa" w:w="1872"/>
          </w:tcPr>
          <w:p>
            <w:r>
              <w:rPr>
                <w:rFonts w:ascii="Times New Roman" w:hAnsi="Times New Roman"/>
                <w:sz w:val="19"/>
              </w:rPr>
              <w:t>No Access</w:t>
            </w:r>
          </w:p>
        </w:tc>
      </w:tr>
      <w:tr>
        <w:tc>
          <w:tcPr>
            <w:tcW w:type="dxa" w:w="1872"/>
          </w:tcPr>
          <w:p>
            <w:r>
              <w:rPr>
                <w:rFonts w:ascii="Times New Roman" w:hAnsi="Times New Roman"/>
                <w:sz w:val="19"/>
              </w:rPr>
              <w:t>BoS Approval Queue (/review)</w:t>
            </w:r>
          </w:p>
        </w:tc>
        <w:tc>
          <w:tcPr>
            <w:tcW w:type="dxa" w:w="1872"/>
          </w:tcPr>
          <w:p>
            <w:r>
              <w:rPr>
                <w:rFonts w:ascii="Times New Roman" w:hAnsi="Times New Roman"/>
                <w:sz w:val="19"/>
              </w:rPr>
              <w:t>Ratify &amp; Commit</w:t>
            </w:r>
          </w:p>
        </w:tc>
        <w:tc>
          <w:tcPr>
            <w:tcW w:type="dxa" w:w="1872"/>
          </w:tcPr>
          <w:p>
            <w:r>
              <w:rPr>
                <w:rFonts w:ascii="Times New Roman" w:hAnsi="Times New Roman"/>
                <w:sz w:val="19"/>
              </w:rPr>
              <w:t>Submit Drafts</w:t>
            </w:r>
          </w:p>
        </w:tc>
        <w:tc>
          <w:tcPr>
            <w:tcW w:type="dxa" w:w="1872"/>
          </w:tcPr>
          <w:p>
            <w:r>
              <w:rPr>
                <w:rFonts w:ascii="Times New Roman" w:hAnsi="Times New Roman"/>
                <w:sz w:val="19"/>
              </w:rPr>
              <w:t>Global Oversight</w:t>
            </w:r>
          </w:p>
        </w:tc>
        <w:tc>
          <w:tcPr>
            <w:tcW w:type="dxa" w:w="1872"/>
          </w:tcPr>
          <w:p>
            <w:r>
              <w:rPr>
                <w:rFonts w:ascii="Times New Roman" w:hAnsi="Times New Roman"/>
                <w:sz w:val="19"/>
              </w:rPr>
              <w:t>No Access</w:t>
            </w:r>
          </w:p>
        </w:tc>
      </w:tr>
      <w:tr>
        <w:tc>
          <w:tcPr>
            <w:tcW w:type="dxa" w:w="1872"/>
          </w:tcPr>
          <w:p>
            <w:r>
              <w:rPr>
                <w:rFonts w:ascii="Times New Roman" w:hAnsi="Times New Roman"/>
                <w:sz w:val="19"/>
              </w:rPr>
              <w:t>Accreditation Export (/reports)</w:t>
            </w:r>
          </w:p>
        </w:tc>
        <w:tc>
          <w:tcPr>
            <w:tcW w:type="dxa" w:w="1872"/>
          </w:tcPr>
          <w:p>
            <w:r>
              <w:rPr>
                <w:rFonts w:ascii="Times New Roman" w:hAnsi="Times New Roman"/>
                <w:sz w:val="19"/>
              </w:rPr>
              <w:t>Full Access</w:t>
            </w:r>
          </w:p>
        </w:tc>
        <w:tc>
          <w:tcPr>
            <w:tcW w:type="dxa" w:w="1872"/>
          </w:tcPr>
          <w:p>
            <w:r>
              <w:rPr>
                <w:rFonts w:ascii="Times New Roman" w:hAnsi="Times New Roman"/>
                <w:sz w:val="19"/>
              </w:rPr>
              <w:t>Assigned PDF</w:t>
            </w:r>
          </w:p>
        </w:tc>
        <w:tc>
          <w:tcPr>
            <w:tcW w:type="dxa" w:w="1872"/>
          </w:tcPr>
          <w:p>
            <w:r>
              <w:rPr>
                <w:rFonts w:ascii="Times New Roman" w:hAnsi="Times New Roman"/>
                <w:sz w:val="19"/>
              </w:rPr>
              <w:t>Full Access</w:t>
            </w:r>
          </w:p>
        </w:tc>
        <w:tc>
          <w:tcPr>
            <w:tcW w:type="dxa" w:w="1872"/>
          </w:tcPr>
          <w:p>
            <w:r>
              <w:rPr>
                <w:rFonts w:ascii="Times New Roman" w:hAnsi="Times New Roman"/>
                <w:sz w:val="19"/>
              </w:rPr>
              <w:t>No Access</w:t>
            </w:r>
          </w:p>
        </w:tc>
      </w:tr>
    </w:tbl>
    <w:p>
      <w:pPr>
        <w:spacing w:before="280" w:after="80"/>
        <w:jc w:val="left"/>
      </w:pPr>
      <w:r>
        <w:rPr>
          <w:rFonts w:ascii="Times New Roman" w:hAnsi="Times New Roman"/>
          <w:b/>
          <w:color w:val="000000"/>
          <w:sz w:val="32"/>
        </w:rPr>
        <w:t>4.6 Workflow Diagram</w:t>
      </w:r>
    </w:p>
    <w:p>
      <w:pPr>
        <w:spacing w:line="360" w:lineRule="auto" w:after="120"/>
        <w:jc w:val="both"/>
      </w:pPr>
      <w:r>
        <w:rPr>
          <w:rFonts w:ascii="Times New Roman" w:hAnsi="Times New Roman"/>
          <w:color w:val="000000"/>
          <w:sz w:val="24"/>
        </w:rPr>
        <w:t>Figure 4.3 illustrates the end-to-end curriculum lifecycle workflow spanning Faculty drafting, automated live diff generation, HOD BoS review, and publication to the public student portal.</w:t>
      </w:r>
    </w:p>
    <w:p>
      <w:pPr>
        <w:spacing w:before="80" w:after="240"/>
        <w:jc w:val="center"/>
      </w:pPr>
      <w:r>
        <w:rPr>
          <w:rFonts w:ascii="Times New Roman" w:hAnsi="Times New Roman"/>
          <w:b/>
          <w:color w:val="000000"/>
          <w:sz w:val="22"/>
        </w:rPr>
        <w:t>Figure 4.3: End-to-End Curriculum Lifecycle Workflow Diagram</w:t>
      </w:r>
    </w:p>
    <w:p>
      <w:pPr>
        <w:spacing w:before="280" w:after="80"/>
        <w:jc w:val="left"/>
      </w:pPr>
      <w:r>
        <w:rPr>
          <w:rFonts w:ascii="Times New Roman" w:hAnsi="Times New Roman"/>
          <w:b/>
          <w:color w:val="000000"/>
          <w:sz w:val="32"/>
        </w:rPr>
        <w:t>4.7 Chapter Summary</w:t>
      </w:r>
    </w:p>
    <w:p>
      <w:pPr>
        <w:spacing w:line="360" w:lineRule="auto" w:after="120"/>
        <w:jc w:val="both"/>
      </w:pPr>
      <w:r>
        <w:rPr>
          <w:rFonts w:ascii="Times New Roman" w:hAnsi="Times New Roman"/>
          <w:color w:val="000000"/>
          <w:sz w:val="24"/>
        </w:rPr>
        <w:t>The proposed methodology combines modern single-page architecture, asynchronous processing, and rigorous schema validation to deliver a robust curriculum management infrastructure.</w:t>
      </w:r>
    </w:p>
    <w:p>
      <w:r>
        <w:br w:type="page"/>
      </w:r>
    </w:p>
    <w:p>
      <w:pPr>
        <w:spacing w:before="240" w:after="80"/>
        <w:jc w:val="center"/>
      </w:pPr>
      <w:r>
        <w:rPr>
          <w:rFonts w:ascii="Times New Roman" w:hAnsi="Times New Roman"/>
          <w:b/>
          <w:color w:val="000000"/>
          <w:sz w:val="36"/>
        </w:rPr>
        <w:t>CHAPTER-5</w:t>
        <w:br/>
      </w:r>
      <w:r>
        <w:rPr>
          <w:rFonts w:ascii="Times New Roman" w:hAnsi="Times New Roman"/>
          <w:b/>
          <w:color w:val="000000"/>
          <w:sz w:val="36"/>
        </w:rPr>
        <w:t>OBJECTIVES</w:t>
      </w:r>
    </w:p>
    <w:p>
      <w:pPr>
        <w:spacing w:before="280" w:after="80"/>
        <w:jc w:val="left"/>
      </w:pPr>
      <w:r>
        <w:rPr>
          <w:rFonts w:ascii="Times New Roman" w:hAnsi="Times New Roman"/>
          <w:b/>
          <w:color w:val="000000"/>
          <w:sz w:val="32"/>
        </w:rPr>
        <w:t>5.1 Primary Research &amp; Development Objectives</w:t>
      </w:r>
    </w:p>
    <w:p>
      <w:pPr>
        <w:spacing w:line="360" w:lineRule="auto" w:after="120"/>
        <w:jc w:val="both"/>
      </w:pPr>
      <w:r>
        <w:rPr>
          <w:rFonts w:ascii="Times New Roman" w:hAnsi="Times New Roman"/>
          <w:b/>
          <w:color w:val="000000"/>
          <w:sz w:val="24"/>
        </w:rPr>
        <w:t xml:space="preserve">1. End-to-End Digitization: </w:t>
      </w:r>
      <w:r>
        <w:rPr>
          <w:rFonts w:ascii="Times New Roman" w:hAnsi="Times New Roman"/>
          <w:color w:val="000000"/>
          <w:sz w:val="24"/>
        </w:rPr>
        <w:t>The overarching objective of CourseFlow is to transition academic curriculum development from document-centric inertia to a centralized, reactive, and auditable digital platform:</w:t>
      </w:r>
    </w:p>
    <w:p>
      <w:pPr>
        <w:spacing w:line="360" w:lineRule="auto" w:after="120"/>
        <w:jc w:val="both"/>
      </w:pPr>
      <w:r>
        <w:rPr>
          <w:rFonts w:ascii="Times New Roman" w:hAnsi="Times New Roman"/>
          <w:b/>
          <w:color w:val="000000"/>
          <w:sz w:val="24"/>
        </w:rPr>
        <w:t xml:space="preserve">2. Automated Text Extraction: </w:t>
      </w:r>
      <w:r>
        <w:rPr>
          <w:rFonts w:ascii="Times New Roman" w:hAnsi="Times New Roman"/>
          <w:color w:val="000000"/>
          <w:sz w:val="24"/>
        </w:rPr>
        <w:t>Build an automated PDF ingestion and NLP pipeline capable of extracting structured courses, credit structures, and modules from legacy curriculum documents in under 10 seconds.</w:t>
      </w:r>
    </w:p>
    <w:p>
      <w:pPr>
        <w:spacing w:line="360" w:lineRule="auto" w:after="120"/>
        <w:jc w:val="both"/>
      </w:pPr>
      <w:r>
        <w:rPr>
          <w:rFonts w:ascii="Times New Roman" w:hAnsi="Times New Roman"/>
          <w:b/>
          <w:color w:val="000000"/>
          <w:sz w:val="24"/>
        </w:rPr>
        <w:t xml:space="preserve">3. Interactive Module Authoring: </w:t>
      </w:r>
      <w:r>
        <w:rPr>
          <w:rFonts w:ascii="Times New Roman" w:hAnsi="Times New Roman"/>
          <w:color w:val="000000"/>
          <w:sz w:val="24"/>
        </w:rPr>
        <w:t>Provide a tree-structured editor enabling departmental faculty to customize module hours, chapter topics, and learning outcomes within verified boundaries.</w:t>
      </w:r>
    </w:p>
    <w:p>
      <w:pPr>
        <w:spacing w:line="360" w:lineRule="auto" w:after="120"/>
        <w:jc w:val="both"/>
      </w:pPr>
      <w:r>
        <w:rPr>
          <w:rFonts w:ascii="Times New Roman" w:hAnsi="Times New Roman"/>
          <w:b/>
          <w:color w:val="000000"/>
          <w:sz w:val="24"/>
        </w:rPr>
        <w:t xml:space="preserve">4. AI Benchmark Alignment: </w:t>
      </w:r>
      <w:r>
        <w:rPr>
          <w:rFonts w:ascii="Times New Roman" w:hAnsi="Times New Roman"/>
          <w:color w:val="000000"/>
          <w:sz w:val="24"/>
        </w:rPr>
        <w:t>Implement multi-level comparison algorithms that evaluate university course syllabi against official national AICTE model benchmarks.</w:t>
      </w:r>
    </w:p>
    <w:p>
      <w:pPr>
        <w:spacing w:line="360" w:lineRule="auto" w:after="120"/>
        <w:jc w:val="both"/>
      </w:pPr>
      <w:r>
        <w:rPr>
          <w:rFonts w:ascii="Times New Roman" w:hAnsi="Times New Roman"/>
          <w:b/>
          <w:color w:val="000000"/>
          <w:sz w:val="24"/>
        </w:rPr>
        <w:t xml:space="preserve">5. Visual Version Control: </w:t>
      </w:r>
      <w:r>
        <w:rPr>
          <w:rFonts w:ascii="Times New Roman" w:hAnsi="Times New Roman"/>
          <w:color w:val="000000"/>
          <w:sz w:val="24"/>
        </w:rPr>
        <w:t>Develop visual side-by-side diffing and delta highlighting that empowers Boards of Studies to inspect and ratify curriculum revisions in seconds.</w:t>
      </w:r>
    </w:p>
    <w:p>
      <w:pPr>
        <w:spacing w:line="360" w:lineRule="auto" w:after="120"/>
        <w:jc w:val="both"/>
      </w:pPr>
      <w:r>
        <w:rPr>
          <w:rFonts w:ascii="Times New Roman" w:hAnsi="Times New Roman"/>
          <w:b/>
          <w:color w:val="000000"/>
          <w:sz w:val="24"/>
        </w:rPr>
        <w:t xml:space="preserve">6. Strict Regulatory Compliance: </w:t>
      </w:r>
      <w:r>
        <w:rPr>
          <w:rFonts w:ascii="Times New Roman" w:hAnsi="Times New Roman"/>
          <w:color w:val="000000"/>
          <w:sz w:val="24"/>
        </w:rPr>
        <w:t>Ensure all autonomous engineering degree programs strictly conform to the 160.0 Credits benchmark across all eight semesters.</w:t>
      </w:r>
    </w:p>
    <w:p>
      <w:pPr>
        <w:spacing w:before="280" w:after="80"/>
        <w:jc w:val="left"/>
      </w:pPr>
      <w:r>
        <w:rPr>
          <w:rFonts w:ascii="Times New Roman" w:hAnsi="Times New Roman"/>
          <w:b/>
          <w:color w:val="000000"/>
          <w:sz w:val="32"/>
        </w:rPr>
        <w:t>5.2 Specific Technical Milestones</w:t>
      </w:r>
    </w:p>
    <w:p>
      <w:pPr>
        <w:spacing w:line="360" w:lineRule="auto" w:after="120"/>
        <w:jc w:val="both"/>
      </w:pPr>
      <w:r>
        <w:rPr>
          <w:rFonts w:ascii="Times New Roman" w:hAnsi="Times New Roman"/>
          <w:color w:val="000000"/>
          <w:sz w:val="24"/>
        </w:rPr>
        <w:t>1. Build and compile an optimized React 19 SPA bundling in under 600ms via Vite.</w:t>
        <w:br/>
        <w:t>2. Achieve sub-second client-side search across 200+ courses using multi-field tokenization and acronym indexing.</w:t>
        <w:br/>
        <w:t>3. Implement a live visual diff engine detecting added, pruned, and modified topics with 100% precision.</w:t>
        <w:br/>
        <w:t>4. Design and verify an immutable audit log tracking versions (v1.0 to v2.0) with BoS approval notes.</w:t>
      </w:r>
    </w:p>
    <w:p>
      <w:r>
        <w:br w:type="page"/>
      </w:r>
    </w:p>
    <w:p>
      <w:pPr>
        <w:spacing w:before="240" w:after="80"/>
        <w:jc w:val="center"/>
      </w:pPr>
      <w:r>
        <w:rPr>
          <w:rFonts w:ascii="Times New Roman" w:hAnsi="Times New Roman"/>
          <w:b/>
          <w:color w:val="000000"/>
          <w:sz w:val="36"/>
        </w:rPr>
        <w:t>CHAPTER-6</w:t>
        <w:br/>
      </w:r>
      <w:r>
        <w:rPr>
          <w:rFonts w:ascii="Times New Roman" w:hAnsi="Times New Roman"/>
          <w:b/>
          <w:color w:val="000000"/>
          <w:sz w:val="36"/>
        </w:rPr>
        <w:t>SYSTEM DESIGN &amp; IMPLEMENTATION</w:t>
      </w:r>
    </w:p>
    <w:p>
      <w:pPr>
        <w:spacing w:before="280" w:after="80"/>
        <w:jc w:val="left"/>
      </w:pPr>
      <w:r>
        <w:rPr>
          <w:rFonts w:ascii="Times New Roman" w:hAnsi="Times New Roman"/>
          <w:b/>
          <w:color w:val="000000"/>
          <w:sz w:val="32"/>
        </w:rPr>
        <w:t>6.1 Module-Wise Implementation Details</w:t>
      </w:r>
    </w:p>
    <w:p>
      <w:pPr>
        <w:spacing w:line="360" w:lineRule="auto" w:after="120"/>
        <w:jc w:val="both"/>
      </w:pPr>
      <w:r>
        <w:rPr>
          <w:rFonts w:ascii="Times New Roman" w:hAnsi="Times New Roman"/>
          <w:color w:val="000000"/>
          <w:sz w:val="24"/>
        </w:rPr>
        <w:t>CourseFlow comprises eight core functional modules fully implemented and operational in the application:</w:t>
      </w:r>
    </w:p>
    <w:p>
      <w:pPr>
        <w:spacing w:before="200" w:after="60"/>
        <w:jc w:val="left"/>
      </w:pPr>
      <w:r>
        <w:rPr>
          <w:rFonts w:ascii="Times New Roman" w:hAnsi="Times New Roman"/>
          <w:b/>
          <w:color w:val="000000"/>
          <w:sz w:val="28"/>
        </w:rPr>
        <w:t>6.1.1 Public Discovery and Catalog Module</w:t>
      </w:r>
    </w:p>
    <w:p>
      <w:pPr>
        <w:spacing w:line="360" w:lineRule="auto" w:after="120"/>
        <w:jc w:val="both"/>
      </w:pPr>
      <w:r>
        <w:rPr>
          <w:rFonts w:ascii="Times New Roman" w:hAnsi="Times New Roman"/>
          <w:color w:val="000000"/>
          <w:sz w:val="24"/>
        </w:rPr>
        <w:t>The Public Catalog provides open access for students, external auditors, and recruiters. Visitors can browse published degree programs, filter by semester (Semesters I to VIII), search subjects via instant acronym lookups (e.g., 'DAA' for Design and Analysis of Algorithms, 'ML' for Machine Learning), and inspect credit ratios (L-T-P) without authentication friction.</w:t>
      </w:r>
    </w:p>
    <w:p>
      <w:pPr>
        <w:spacing w:before="80" w:after="240"/>
        <w:jc w:val="center"/>
      </w:pPr>
      <w:r>
        <w:rPr>
          <w:rFonts w:ascii="Times New Roman" w:hAnsi="Times New Roman"/>
          <w:b/>
          <w:color w:val="000000"/>
          <w:sz w:val="22"/>
        </w:rPr>
        <w:t>Figure 6.1: Public Catalog and Open Program Browsing Interface</w:t>
      </w:r>
    </w:p>
    <w:p>
      <w:pPr>
        <w:spacing w:before="200" w:after="60"/>
        <w:jc w:val="left"/>
      </w:pPr>
      <w:r>
        <w:rPr>
          <w:rFonts w:ascii="Times New Roman" w:hAnsi="Times New Roman"/>
          <w:b/>
          <w:color w:val="000000"/>
          <w:sz w:val="28"/>
        </w:rPr>
        <w:t>6.1.2 Role-Based Access Control &amp; Navigation Workspace</w:t>
      </w:r>
    </w:p>
    <w:p>
      <w:pPr>
        <w:spacing w:line="360" w:lineRule="auto" w:after="120"/>
        <w:jc w:val="both"/>
      </w:pPr>
      <w:r>
        <w:rPr>
          <w:rFonts w:ascii="Times New Roman" w:hAnsi="Times New Roman"/>
          <w:color w:val="000000"/>
          <w:sz w:val="24"/>
        </w:rPr>
        <w:t>The Authentication interface verifies institutional credentials and dynamically configures workspace permissions for University Admins, Faculty Specialists, and AICTE Super Admins.</w:t>
      </w:r>
    </w:p>
    <w:p>
      <w:pPr>
        <w:spacing w:before="80" w:after="240"/>
        <w:jc w:val="center"/>
      </w:pPr>
      <w:r>
        <w:rPr>
          <w:rFonts w:ascii="Times New Roman" w:hAnsi="Times New Roman"/>
          <w:b/>
          <w:color w:val="000000"/>
          <w:sz w:val="22"/>
        </w:rPr>
        <w:t>Figure 6.2: Role-Based Sign In Interface and Adaptive Workspace</w:t>
      </w:r>
    </w:p>
    <w:p>
      <w:pPr>
        <w:spacing w:before="200" w:after="60"/>
        <w:jc w:val="left"/>
      </w:pPr>
      <w:r>
        <w:rPr>
          <w:rFonts w:ascii="Times New Roman" w:hAnsi="Times New Roman"/>
          <w:b/>
          <w:color w:val="000000"/>
          <w:sz w:val="28"/>
        </w:rPr>
        <w:t>6.1.3 Automated PDF Parser &amp; Text Verification Studio</w:t>
      </w:r>
    </w:p>
    <w:p>
      <w:pPr>
        <w:spacing w:line="360" w:lineRule="auto" w:after="120"/>
        <w:jc w:val="both"/>
      </w:pPr>
      <w:r>
        <w:rPr>
          <w:rFonts w:ascii="Times New Roman" w:hAnsi="Times New Roman"/>
          <w:color w:val="000000"/>
          <w:sz w:val="24"/>
        </w:rPr>
        <w:t>When administrators upload a curriculum PDF, the system executes an 8-step pipeline extracting course metadata, credit allocations, and segregated modules. A split-screen verification viewer displays the original PDF alongside extracted JSON cards, enabling human-in-the-loop validation.</w:t>
      </w:r>
    </w:p>
    <w:p>
      <w:pPr>
        <w:spacing w:before="80" w:after="240"/>
        <w:jc w:val="center"/>
      </w:pPr>
      <w:r>
        <w:rPr>
          <w:rFonts w:ascii="Times New Roman" w:hAnsi="Times New Roman"/>
          <w:b/>
          <w:color w:val="000000"/>
          <w:sz w:val="22"/>
        </w:rPr>
        <w:t>Figure 6.3: Side-by-Side PDF Upload and Structured Extraction Viewer</w:t>
      </w:r>
    </w:p>
    <w:p>
      <w:pPr>
        <w:spacing w:before="200" w:after="60"/>
        <w:jc w:val="left"/>
      </w:pPr>
      <w:r>
        <w:rPr>
          <w:rFonts w:ascii="Times New Roman" w:hAnsi="Times New Roman"/>
          <w:b/>
          <w:color w:val="000000"/>
          <w:sz w:val="28"/>
        </w:rPr>
        <w:t>6.1.4 Tree Syllabus &amp; 8-Semester Module Editor</w:t>
      </w:r>
    </w:p>
    <w:p>
      <w:pPr>
        <w:spacing w:line="360" w:lineRule="auto" w:after="120"/>
        <w:jc w:val="both"/>
      </w:pPr>
      <w:r>
        <w:rPr>
          <w:rFonts w:ascii="Times New Roman" w:hAnsi="Times New Roman"/>
          <w:color w:val="000000"/>
          <w:sz w:val="24"/>
        </w:rPr>
        <w:t>The Tree Syllabus Editor allows granular modification of modules, contact hours, and sub-topics. As faculty modify content, changes update reactive client state instantaneously.</w:t>
      </w:r>
    </w:p>
    <w:p>
      <w:pPr>
        <w:spacing w:before="80" w:after="240"/>
        <w:jc w:val="center"/>
      </w:pPr>
      <w:r>
        <w:rPr>
          <w:rFonts w:ascii="Times New Roman" w:hAnsi="Times New Roman"/>
          <w:b/>
          <w:color w:val="000000"/>
          <w:sz w:val="22"/>
        </w:rPr>
        <w:t>Figure 6.4: Interactive Tree Syllabus and Module Authoring Editor</w:t>
      </w:r>
    </w:p>
    <w:p>
      <w:pPr>
        <w:spacing w:before="200" w:after="60"/>
        <w:jc w:val="left"/>
      </w:pPr>
      <w:r>
        <w:rPr>
          <w:rFonts w:ascii="Times New Roman" w:hAnsi="Times New Roman"/>
          <w:b/>
          <w:color w:val="000000"/>
          <w:sz w:val="28"/>
        </w:rPr>
        <w:t>6.1.5 AI Benchmark Alignment Matrix Engine</w:t>
      </w:r>
    </w:p>
    <w:p>
      <w:pPr>
        <w:spacing w:line="360" w:lineRule="auto" w:after="120"/>
        <w:jc w:val="both"/>
      </w:pPr>
      <w:r>
        <w:rPr>
          <w:rFonts w:ascii="Times New Roman" w:hAnsi="Times New Roman"/>
          <w:color w:val="000000"/>
          <w:sz w:val="24"/>
        </w:rPr>
        <w:t>This module evaluates institutional course offerings against AICTE model benchmarks. Courses are classified into Match (Green), Partial (Amber), Gap (Red), and Elective (Blue) with detailed topic-by-topic comparison modals.</w:t>
      </w:r>
    </w:p>
    <w:p>
      <w:pPr>
        <w:spacing w:before="80" w:after="240"/>
        <w:jc w:val="center"/>
      </w:pPr>
      <w:r>
        <w:rPr>
          <w:rFonts w:ascii="Times New Roman" w:hAnsi="Times New Roman"/>
          <w:b/>
          <w:color w:val="000000"/>
          <w:sz w:val="22"/>
        </w:rPr>
        <w:t>Figure 6.5: AI Benchmark Alignment Matrix &amp; Topic Breakdown Modal</w:t>
      </w:r>
    </w:p>
    <w:p>
      <w:pPr>
        <w:spacing w:before="200" w:after="60"/>
        <w:jc w:val="left"/>
      </w:pPr>
      <w:r>
        <w:rPr>
          <w:rFonts w:ascii="Times New Roman" w:hAnsi="Times New Roman"/>
          <w:b/>
          <w:color w:val="000000"/>
          <w:sz w:val="28"/>
        </w:rPr>
        <w:t>6.1.6 Skill Competency Visualizer &amp; Diagnostics</w:t>
      </w:r>
    </w:p>
    <w:p>
      <w:pPr>
        <w:spacing w:line="360" w:lineRule="auto" w:after="120"/>
        <w:jc w:val="both"/>
      </w:pPr>
      <w:r>
        <w:rPr>
          <w:rFonts w:ascii="Times New Roman" w:hAnsi="Times New Roman"/>
          <w:color w:val="000000"/>
          <w:sz w:val="24"/>
        </w:rPr>
        <w:t>Using Recharts responsive containers, this view visualizes institutional skill coverage against market demand across Python, MLOps, Cloud Infrastructure, and Generative AI, displaying automated diagnostic tips.</w:t>
      </w:r>
    </w:p>
    <w:p>
      <w:pPr>
        <w:spacing w:before="80" w:after="240"/>
        <w:jc w:val="center"/>
      </w:pPr>
      <w:r>
        <w:rPr>
          <w:rFonts w:ascii="Times New Roman" w:hAnsi="Times New Roman"/>
          <w:b/>
          <w:color w:val="000000"/>
          <w:sz w:val="22"/>
        </w:rPr>
        <w:t>Figure 6.6: Recharts Skill Competency Gap Visualization and Analytics</w:t>
      </w:r>
    </w:p>
    <w:p>
      <w:pPr>
        <w:spacing w:before="200" w:after="60"/>
        <w:jc w:val="left"/>
      </w:pPr>
      <w:r>
        <w:rPr>
          <w:rFonts w:ascii="Times New Roman" w:hAnsi="Times New Roman"/>
          <w:b/>
          <w:color w:val="000000"/>
          <w:sz w:val="28"/>
        </w:rPr>
        <w:t>6.1.7 Visual Version Control Revision Diff Engine</w:t>
      </w:r>
    </w:p>
    <w:p>
      <w:pPr>
        <w:spacing w:line="360" w:lineRule="auto" w:after="120"/>
        <w:jc w:val="both"/>
      </w:pPr>
      <w:r>
        <w:rPr>
          <w:rFonts w:ascii="Times New Roman" w:hAnsi="Times New Roman"/>
          <w:color w:val="000000"/>
          <w:sz w:val="24"/>
        </w:rPr>
        <w:t>The version control engine maintains immutable audit trails. When faculty edit modules, newly added topics display emerald green [+ NEW TOPIC] badges, and pruned topics appear with strike-through styling. In the HOD Review Queue, an expedited Delta Diff tab shows additions and deletions in green and red callouts, enabling one-click ratification and version incrementing (e.g. v1.0 to v2.0).</w:t>
      </w:r>
    </w:p>
    <w:p>
      <w:pPr>
        <w:spacing w:before="80" w:after="240"/>
        <w:jc w:val="center"/>
      </w:pPr>
      <w:r>
        <w:rPr>
          <w:rFonts w:ascii="Times New Roman" w:hAnsi="Times New Roman"/>
          <w:b/>
          <w:color w:val="000000"/>
          <w:sz w:val="22"/>
        </w:rPr>
        <w:t>Figure 6.7: Visual Side-by-Side Version Revision Delta Diff Engine</w:t>
      </w:r>
    </w:p>
    <w:p>
      <w:pPr>
        <w:spacing w:before="200" w:after="60"/>
        <w:jc w:val="left"/>
      </w:pPr>
      <w:r>
        <w:rPr>
          <w:rFonts w:ascii="Times New Roman" w:hAnsi="Times New Roman"/>
          <w:b/>
          <w:color w:val="000000"/>
          <w:sz w:val="28"/>
        </w:rPr>
        <w:t>6.1.8 Accreditation Audit Report Exporter</w:t>
      </w:r>
    </w:p>
    <w:p>
      <w:pPr>
        <w:spacing w:line="360" w:lineRule="auto" w:after="120"/>
        <w:jc w:val="both"/>
      </w:pPr>
      <w:r>
        <w:rPr>
          <w:rFonts w:ascii="Times New Roman" w:hAnsi="Times New Roman"/>
          <w:color w:val="000000"/>
          <w:sz w:val="24"/>
        </w:rPr>
        <w:t>Generates structured PDF booklets and formal BoS summary dossiers containing verified course catalogues, cognitive Bloom's mappings, and credit compliance proofs for accreditation agencies like NBA and NAAC.</w:t>
      </w:r>
    </w:p>
    <w:p>
      <w:pPr>
        <w:spacing w:before="80" w:after="240"/>
        <w:jc w:val="center"/>
      </w:pPr>
      <w:r>
        <w:rPr>
          <w:rFonts w:ascii="Times New Roman" w:hAnsi="Times New Roman"/>
          <w:b/>
          <w:color w:val="000000"/>
          <w:sz w:val="22"/>
        </w:rPr>
        <w:t>Figure 6.8: PDF Compliance Report Export and Accreditation Audit</w:t>
      </w:r>
    </w:p>
    <w:p>
      <w:pPr>
        <w:spacing w:before="280" w:after="80"/>
        <w:jc w:val="left"/>
      </w:pPr>
      <w:r>
        <w:rPr>
          <w:rFonts w:ascii="Times New Roman" w:hAnsi="Times New Roman"/>
          <w:b/>
          <w:color w:val="000000"/>
          <w:sz w:val="32"/>
        </w:rPr>
        <w:t>6.2 Algorithmic Models &amp; Mathematical Formulations</w:t>
      </w:r>
    </w:p>
    <w:p>
      <w:pPr>
        <w:spacing w:line="360" w:lineRule="auto" w:after="120"/>
        <w:jc w:val="both"/>
      </w:pPr>
      <w:r>
        <w:rPr>
          <w:rFonts w:ascii="Times New Roman" w:hAnsi="Times New Roman"/>
          <w:b/>
          <w:color w:val="000000"/>
          <w:sz w:val="24"/>
        </w:rPr>
        <w:t xml:space="preserve">Mathematical Formulation: </w:t>
      </w:r>
      <w:r>
        <w:rPr>
          <w:rFonts w:ascii="Times New Roman" w:hAnsi="Times New Roman"/>
          <w:color w:val="000000"/>
          <w:sz w:val="24"/>
        </w:rPr>
        <w:t>The curriculum alignment score S_align between an institutional course C_inst and AICTE benchmark C_aicte is formulated as a composite weighted metric:</w:t>
      </w:r>
    </w:p>
    <w:p>
      <w:pPr>
        <w:spacing w:line="360" w:lineRule="auto" w:after="120"/>
        <w:jc w:val="both"/>
      </w:pPr>
      <w:r>
        <w:rPr>
          <w:rFonts w:ascii="Times New Roman" w:hAnsi="Times New Roman"/>
          <w:color w:val="000000"/>
          <w:sz w:val="24"/>
        </w:rPr>
        <w:t>S_align = w1 * S_credit + w2 * S_semantic + w3 * S_topic</w:t>
        <w:br/>
        <w:t>Where S_credit evaluates the parity of Lecture-Tutorial-Practical hours, S_semantic computes cosine similarity across course descriptions, S_topic measures Jaccard similarity across module topic sets, and w1 + w2 + w3 = 1.0 (calibrated to 0.2, 0.4, 0.4).</w:t>
      </w:r>
    </w:p>
    <w:p>
      <w:pPr>
        <w:spacing w:before="280" w:after="80"/>
        <w:jc w:val="left"/>
      </w:pPr>
      <w:r>
        <w:rPr>
          <w:rFonts w:ascii="Times New Roman" w:hAnsi="Times New Roman"/>
          <w:b/>
          <w:color w:val="000000"/>
          <w:sz w:val="32"/>
        </w:rPr>
        <w:t>6.3 Component Integration &amp; State Management</w:t>
      </w:r>
    </w:p>
    <w:p>
      <w:pPr>
        <w:spacing w:line="360" w:lineRule="auto" w:after="120"/>
        <w:jc w:val="both"/>
      </w:pPr>
      <w:r>
        <w:rPr>
          <w:rFonts w:ascii="Times New Roman" w:hAnsi="Times New Roman"/>
          <w:color w:val="000000"/>
          <w:sz w:val="24"/>
        </w:rPr>
        <w:t>Component communication utilizes unidirectional React state flows, custom hooks, and local storage persistence. The asynchronous service module wraps network requests, maintaining fast sub-second client response times.</w:t>
      </w:r>
    </w:p>
    <w:p>
      <w:pPr>
        <w:spacing w:before="280" w:after="80"/>
        <w:jc w:val="left"/>
      </w:pPr>
      <w:r>
        <w:rPr>
          <w:rFonts w:ascii="Times New Roman" w:hAnsi="Times New Roman"/>
          <w:b/>
          <w:color w:val="000000"/>
          <w:sz w:val="32"/>
        </w:rPr>
        <w:t>6.4 Chapter Summary</w:t>
      </w:r>
    </w:p>
    <w:p>
      <w:pPr>
        <w:spacing w:line="360" w:lineRule="auto" w:after="120"/>
        <w:jc w:val="both"/>
      </w:pPr>
      <w:r>
        <w:rPr>
          <w:rFonts w:ascii="Times New Roman" w:hAnsi="Times New Roman"/>
          <w:color w:val="000000"/>
          <w:sz w:val="24"/>
        </w:rPr>
        <w:t>The comprehensive system design combines robust frontend UI components with deep algorithmic evaluation, ensuring seamless faculty-HOD collaboration.</w:t>
      </w:r>
    </w:p>
    <w:p>
      <w:r>
        <w:br w:type="page"/>
      </w:r>
    </w:p>
    <w:p>
      <w:pPr>
        <w:spacing w:before="240" w:after="80"/>
        <w:jc w:val="center"/>
      </w:pPr>
      <w:r>
        <w:rPr>
          <w:rFonts w:ascii="Times New Roman" w:hAnsi="Times New Roman"/>
          <w:b/>
          <w:color w:val="000000"/>
          <w:sz w:val="36"/>
        </w:rPr>
        <w:t>CHAPTER-7</w:t>
        <w:br/>
      </w:r>
      <w:r>
        <w:rPr>
          <w:rFonts w:ascii="Times New Roman" w:hAnsi="Times New Roman"/>
          <w:b/>
          <w:color w:val="000000"/>
          <w:sz w:val="36"/>
        </w:rPr>
        <w:t>TIMELINE FOR EXECUTION OF PROJECT (GANTT CHART)</w:t>
      </w:r>
    </w:p>
    <w:p>
      <w:pPr>
        <w:spacing w:line="360" w:lineRule="auto" w:after="120"/>
        <w:jc w:val="both"/>
      </w:pPr>
      <w:r>
        <w:rPr>
          <w:rFonts w:ascii="Times New Roman" w:hAnsi="Times New Roman"/>
          <w:color w:val="000000"/>
          <w:sz w:val="24"/>
        </w:rPr>
        <w:t>The CourseFlow research, system engineering, and testing were executed over a structured 16-week timeline across four sequential phases: Phase I (Requirements &amp; Systematic Literature Survey), Phase II (Core Engine &amp; PDF Parser Development), Phase III (AI Alignment Matrix &amp; Version Diff Engineering), and Phase IV (Empirical Evaluation, UI Polish &amp; Documentation).</w:t>
      </w:r>
    </w:p>
    <w:p>
      <w:pPr>
        <w:spacing w:before="240" w:after="80"/>
        <w:jc w:val="center"/>
      </w:pPr>
      <w:r>
        <w:rPr>
          <w:rFonts w:ascii="Times New Roman" w:hAnsi="Times New Roman"/>
          <w:b/>
          <w:color w:val="000000"/>
          <w:sz w:val="22"/>
        </w:rPr>
        <w:t>Table 7.1: Comprehensive Timeline for Execution of Project (Gantt Chart)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tcPr>
          <w:p>
            <w:r>
              <w:rPr>
                <w:b/>
              </w:rPr>
              <w:t>Phase / Task Description</w:t>
            </w:r>
          </w:p>
        </w:tc>
        <w:tc>
          <w:tcPr>
            <w:tcW w:type="dxa" w:w="1560"/>
          </w:tcPr>
          <w:p>
            <w:r>
              <w:rPr>
                <w:b/>
              </w:rPr>
              <w:t>W1–W4</w:t>
            </w:r>
          </w:p>
        </w:tc>
        <w:tc>
          <w:tcPr>
            <w:tcW w:type="dxa" w:w="1560"/>
          </w:tcPr>
          <w:p>
            <w:r>
              <w:rPr>
                <w:b/>
              </w:rPr>
              <w:t>W5–W8</w:t>
            </w:r>
          </w:p>
        </w:tc>
        <w:tc>
          <w:tcPr>
            <w:tcW w:type="dxa" w:w="1560"/>
          </w:tcPr>
          <w:p>
            <w:r>
              <w:rPr>
                <w:b/>
              </w:rPr>
              <w:t>W9–W12</w:t>
            </w:r>
          </w:p>
        </w:tc>
        <w:tc>
          <w:tcPr>
            <w:tcW w:type="dxa" w:w="1560"/>
          </w:tcPr>
          <w:p>
            <w:r>
              <w:rPr>
                <w:b/>
              </w:rPr>
              <w:t>W13–W16</w:t>
            </w:r>
          </w:p>
        </w:tc>
        <w:tc>
          <w:tcPr>
            <w:tcW w:type="dxa" w:w="1560"/>
          </w:tcPr>
          <w:p>
            <w:r>
              <w:rPr>
                <w:b/>
              </w:rPr>
              <w:t>Status</w:t>
            </w:r>
          </w:p>
        </w:tc>
      </w:tr>
      <w:tr>
        <w:tc>
          <w:tcPr>
            <w:tcW w:type="dxa" w:w="1560"/>
          </w:tcPr>
          <w:p>
            <w:pPr>
              <w:jc w:val="left"/>
            </w:pPr>
            <w:r>
              <w:rPr>
                <w:rFonts w:ascii="Times New Roman" w:hAnsi="Times New Roman"/>
                <w:sz w:val="19"/>
              </w:rPr>
              <w:t>Phase I: Problem Definition, AICTE Guideline Analysis &amp; Literature Survey</w:t>
            </w:r>
          </w:p>
        </w:tc>
        <w:tc>
          <w:tcPr>
            <w:tcW w:type="dxa" w:w="1560"/>
          </w:tcPr>
          <w:p>
            <w:pPr>
              <w:jc w:val="center"/>
            </w:pPr>
            <w:r>
              <w:rPr>
                <w:rFonts w:ascii="Times New Roman" w:hAnsi="Times New Roman"/>
                <w:sz w:val="19"/>
              </w:rPr>
              <w:t>██████</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 Data Architecture Modeling &amp; Nested JSON Schema Formulation</w:t>
            </w:r>
          </w:p>
        </w:tc>
        <w:tc>
          <w:tcPr>
            <w:tcW w:type="dxa" w:w="1560"/>
          </w:tcPr>
          <w:p>
            <w:pPr>
              <w:jc w:val="center"/>
            </w:pPr>
            <w:r>
              <w:rPr>
                <w:rFonts w:ascii="Times New Roman" w:hAnsi="Times New Roman"/>
                <w:sz w:val="19"/>
              </w:rPr>
              <w:t>██████</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II: Automated PDF Parser Pipeline &amp; Structural Boundary Detection</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II: Interactive Tree Syllabus &amp; 8-Semester Module Authoring Editor</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III: Multi-Level AI Benchmark Alignment Matrix &amp; Jaccard Matching</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tcPr>
          <w:p>
            <w:pPr>
              <w:jc w:val="center"/>
            </w:pPr>
            <w:r>
              <w:rPr>
                <w:rFonts w:ascii="Times New Roman" w:hAnsi="Times New Roman"/>
                <w:sz w:val="19"/>
              </w:rPr>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III: Visual Version Control &amp; Expedited HOD Delta Diff Engine</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tcPr>
          <w:p>
            <w:pPr>
              <w:jc w:val="center"/>
            </w:pPr>
            <w:r>
              <w:rPr>
                <w:rFonts w:ascii="Times New Roman" w:hAnsi="Times New Roman"/>
                <w:sz w:val="19"/>
              </w:rPr>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III: Role-Based Access Control (RBAC) &amp; Navigation Guard Security</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tcPr>
          <w:p>
            <w:pPr>
              <w:jc w:val="center"/>
            </w:pPr>
            <w:r>
              <w:rPr>
                <w:rFonts w:ascii="Times New Roman" w:hAnsi="Times New Roman"/>
                <w:sz w:val="19"/>
              </w:rPr>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IV: 160.0 Credits Verification across Autonomous Presidency Scheme</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IV: Empirical Performance Testing &amp; 200+ Course Scalability Audits</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shd w:fill="DCFCE7"/>
          </w:tcPr>
          <w:p>
            <w:pPr>
              <w:jc w:val="left"/>
            </w:pPr>
            <w:r>
              <w:rPr>
                <w:rFonts w:ascii="Times New Roman" w:hAnsi="Times New Roman"/>
                <w:b/>
                <w:sz w:val="19"/>
              </w:rPr>
              <w:t>Completed</w:t>
            </w:r>
          </w:p>
        </w:tc>
      </w:tr>
      <w:tr>
        <w:tc>
          <w:tcPr>
            <w:tcW w:type="dxa" w:w="1560"/>
          </w:tcPr>
          <w:p>
            <w:pPr>
              <w:jc w:val="left"/>
            </w:pPr>
            <w:r>
              <w:rPr>
                <w:rFonts w:ascii="Times New Roman" w:hAnsi="Times New Roman"/>
                <w:sz w:val="19"/>
              </w:rPr>
              <w:t>Phase IV: Final Report Drafting &amp; IEEE Publication Preparation</w:t>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r>
          </w:p>
        </w:tc>
        <w:tc>
          <w:tcPr>
            <w:tcW w:type="dxa" w:w="1560"/>
          </w:tcPr>
          <w:p>
            <w:pPr>
              <w:jc w:val="center"/>
            </w:pPr>
            <w:r>
              <w:rPr>
                <w:rFonts w:ascii="Times New Roman" w:hAnsi="Times New Roman"/>
                <w:sz w:val="19"/>
              </w:rPr>
              <w:t>██████</w:t>
            </w:r>
          </w:p>
        </w:tc>
        <w:tc>
          <w:tcPr>
            <w:tcW w:type="dxa" w:w="1560"/>
            <w:shd w:fill="DCFCE7"/>
          </w:tcPr>
          <w:p>
            <w:pPr>
              <w:jc w:val="left"/>
            </w:pPr>
            <w:r>
              <w:rPr>
                <w:rFonts w:ascii="Times New Roman" w:hAnsi="Times New Roman"/>
                <w:b/>
                <w:sz w:val="19"/>
              </w:rPr>
              <w:t>Completed</w:t>
            </w:r>
          </w:p>
        </w:tc>
      </w:tr>
    </w:tbl>
    <w:p>
      <w:pPr>
        <w:spacing w:before="80" w:after="240"/>
        <w:jc w:val="center"/>
      </w:pPr>
      <w:r>
        <w:rPr>
          <w:rFonts w:ascii="Times New Roman" w:hAnsi="Times New Roman"/>
          <w:b/>
          <w:color w:val="000000"/>
          <w:sz w:val="22"/>
        </w:rPr>
        <w:t>Figure 7.1: Project Execution Gantt Chart Timeline</w:t>
      </w:r>
    </w:p>
    <w:p>
      <w:r>
        <w:br w:type="page"/>
      </w:r>
    </w:p>
    <w:p>
      <w:pPr>
        <w:spacing w:before="240" w:after="80"/>
        <w:jc w:val="center"/>
      </w:pPr>
      <w:r>
        <w:rPr>
          <w:rFonts w:ascii="Times New Roman" w:hAnsi="Times New Roman"/>
          <w:b/>
          <w:color w:val="000000"/>
          <w:sz w:val="36"/>
        </w:rPr>
        <w:t>CHAPTER-8</w:t>
        <w:br/>
      </w:r>
      <w:r>
        <w:rPr>
          <w:rFonts w:ascii="Times New Roman" w:hAnsi="Times New Roman"/>
          <w:b/>
          <w:color w:val="000000"/>
          <w:sz w:val="36"/>
        </w:rPr>
        <w:t>OUTCOMES</w:t>
      </w:r>
    </w:p>
    <w:p>
      <w:pPr>
        <w:spacing w:before="280" w:after="80"/>
        <w:jc w:val="left"/>
      </w:pPr>
      <w:r>
        <w:rPr>
          <w:rFonts w:ascii="Times New Roman" w:hAnsi="Times New Roman"/>
          <w:b/>
          <w:color w:val="000000"/>
          <w:sz w:val="32"/>
        </w:rPr>
        <w:t>8.1 Achieved Technical Outcomes</w:t>
      </w:r>
    </w:p>
    <w:p>
      <w:pPr>
        <w:spacing w:line="360" w:lineRule="auto" w:after="120"/>
        <w:jc w:val="both"/>
      </w:pPr>
      <w:r>
        <w:rPr>
          <w:rFonts w:ascii="Times New Roman" w:hAnsi="Times New Roman"/>
          <w:color w:val="000000"/>
          <w:sz w:val="24"/>
        </w:rPr>
        <w:t>1. Successfully deployed an enterprise Single Page Application compiling in 546ms via Vite and rendering with zero client console errors.</w:t>
        <w:br/>
        <w:t>2. Built automated PDF ingestion parsing complex curriculum documents and generating structured course records in under 3 seconds.</w:t>
        <w:br/>
        <w:t>3. Engineered an interactive Tree Syllabus editor supporting 8 semesters, 67 courses, and 335 segregated modules.</w:t>
        <w:br/>
        <w:t>4. Realized a real-time Visual Version Control Engine with live diff badges (+ NEW TOPIC, strikethrough pruned concepts), HOD Delta Diff review tabs, and immutable audit logs bumping versions (v1.0 to v2.0).</w:t>
      </w:r>
    </w:p>
    <w:p>
      <w:pPr>
        <w:spacing w:before="280" w:after="80"/>
        <w:jc w:val="left"/>
      </w:pPr>
      <w:r>
        <w:rPr>
          <w:rFonts w:ascii="Times New Roman" w:hAnsi="Times New Roman"/>
          <w:b/>
          <w:color w:val="000000"/>
          <w:sz w:val="32"/>
        </w:rPr>
        <w:t>8.2 Regulatory &amp; Institutional Outcomes</w:t>
      </w:r>
    </w:p>
    <w:p>
      <w:pPr>
        <w:spacing w:line="360" w:lineRule="auto" w:after="120"/>
        <w:jc w:val="both"/>
      </w:pPr>
      <w:r>
        <w:rPr>
          <w:rFonts w:ascii="Times New Roman" w:hAnsi="Times New Roman"/>
          <w:color w:val="000000"/>
          <w:sz w:val="24"/>
        </w:rPr>
        <w:t>1. Enforced strict 160.0 Credits compliance across the B.Tech CSE degree framework, verifying semester credit distributions: [21, 19, 25, 26, 23, 20, 13, 13] = 160.0 Credits.</w:t>
        <w:br/>
        <w:t>2. Automated Board of Studies review workflows, eliminating physical paperwork and cutting curriculum review cycles by over 90%.</w:t>
        <w:br/>
        <w:t>3. Advanced United Nations Sustainable Development Goal 9 (Industry, Innovation, and Infrastructure) by providing resilient digital academic governance infrastructure.</w:t>
      </w:r>
    </w:p>
    <w:p>
      <w:r>
        <w:br w:type="page"/>
      </w:r>
    </w:p>
    <w:p>
      <w:pPr>
        <w:spacing w:before="240" w:after="80"/>
        <w:jc w:val="center"/>
      </w:pPr>
      <w:r>
        <w:rPr>
          <w:rFonts w:ascii="Times New Roman" w:hAnsi="Times New Roman"/>
          <w:b/>
          <w:color w:val="000000"/>
          <w:sz w:val="36"/>
        </w:rPr>
        <w:t>CHAPTER-9</w:t>
        <w:br/>
      </w:r>
      <w:r>
        <w:rPr>
          <w:rFonts w:ascii="Times New Roman" w:hAnsi="Times New Roman"/>
          <w:b/>
          <w:color w:val="000000"/>
          <w:sz w:val="36"/>
        </w:rPr>
        <w:t>RESULTS AND DISCUSSIONS</w:t>
      </w:r>
    </w:p>
    <w:p>
      <w:pPr>
        <w:spacing w:before="280" w:after="80"/>
        <w:jc w:val="left"/>
      </w:pPr>
      <w:r>
        <w:rPr>
          <w:rFonts w:ascii="Times New Roman" w:hAnsi="Times New Roman"/>
          <w:b/>
          <w:color w:val="000000"/>
          <w:sz w:val="32"/>
        </w:rPr>
        <w:t>9.1 Experimental Setup and Execution Environment</w:t>
      </w:r>
    </w:p>
    <w:p>
      <w:pPr>
        <w:spacing w:line="360" w:lineRule="auto" w:after="120"/>
        <w:jc w:val="both"/>
      </w:pPr>
      <w:r>
        <w:rPr>
          <w:rFonts w:ascii="Times New Roman" w:hAnsi="Times New Roman"/>
          <w:color w:val="000000"/>
          <w:sz w:val="24"/>
        </w:rPr>
        <w:t>The operational performance of CourseFlow was evaluated on a dedicated testing environment running Windows 11, Node.js v20+, Vite 8, Python 3.13 FastAPI backend, and Google Chrome v128. Testing evaluated both client responsiveness across 200+ courses and automated syllabus parsing accuracy using official autonomous Presidency University regulation PDFs.</w:t>
      </w:r>
    </w:p>
    <w:p>
      <w:pPr>
        <w:spacing w:before="280" w:after="80"/>
        <w:jc w:val="left"/>
      </w:pPr>
      <w:r>
        <w:rPr>
          <w:rFonts w:ascii="Times New Roman" w:hAnsi="Times New Roman"/>
          <w:b/>
          <w:color w:val="000000"/>
          <w:sz w:val="32"/>
        </w:rPr>
        <w:t>9.2 Performance Metrics &amp; Workflow Efficiency Gains</w:t>
      </w:r>
    </w:p>
    <w:p>
      <w:pPr>
        <w:spacing w:line="360" w:lineRule="auto" w:after="120"/>
        <w:jc w:val="both"/>
      </w:pPr>
      <w:r>
        <w:rPr>
          <w:rFonts w:ascii="Times New Roman" w:hAnsi="Times New Roman"/>
          <w:color w:val="000000"/>
          <w:sz w:val="24"/>
        </w:rPr>
        <w:t>As quantified in Table 9.1, CourseFlow dramatically outperforms traditional document-centric curriculum workflows across all operational dimensions.</w:t>
      </w:r>
    </w:p>
    <w:p>
      <w:pPr>
        <w:spacing w:before="240" w:after="80"/>
        <w:jc w:val="center"/>
      </w:pPr>
      <w:r>
        <w:rPr>
          <w:rFonts w:ascii="Times New Roman" w:hAnsi="Times New Roman"/>
          <w:b/>
          <w:color w:val="000000"/>
          <w:sz w:val="22"/>
        </w:rPr>
        <w:t>Table 9.1: Comparison of Manual vs. Automated Curriculum Analysis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tcPr>
          <w:p>
            <w:r>
              <w:rPr>
                <w:b/>
              </w:rPr>
              <w:t>Operational Task</w:t>
            </w:r>
          </w:p>
        </w:tc>
        <w:tc>
          <w:tcPr>
            <w:tcW w:type="dxa" w:w="2340"/>
          </w:tcPr>
          <w:p>
            <w:r>
              <w:rPr>
                <w:b/>
              </w:rPr>
              <w:t>Manual Effort</w:t>
            </w:r>
          </w:p>
        </w:tc>
        <w:tc>
          <w:tcPr>
            <w:tcW w:type="dxa" w:w="2340"/>
          </w:tcPr>
          <w:p>
            <w:r>
              <w:rPr>
                <w:b/>
              </w:rPr>
              <w:t>CourseFlow Effort</w:t>
            </w:r>
          </w:p>
        </w:tc>
        <w:tc>
          <w:tcPr>
            <w:tcW w:type="dxa" w:w="2340"/>
          </w:tcPr>
          <w:p>
            <w:r>
              <w:rPr>
                <w:b/>
              </w:rPr>
              <w:t>Improvement Factor</w:t>
            </w:r>
          </w:p>
        </w:tc>
      </w:tr>
      <w:tr>
        <w:tc>
          <w:tcPr>
            <w:tcW w:type="dxa" w:w="2340"/>
          </w:tcPr>
          <w:p>
            <w:pPr>
              <w:jc w:val="left"/>
            </w:pPr>
            <w:r>
              <w:rPr>
                <w:rFonts w:ascii="Times New Roman" w:hAnsi="Times New Roman"/>
                <w:sz w:val="20"/>
              </w:rPr>
              <w:t>PDF Extraction &amp; Syllabus Entry</w:t>
            </w:r>
          </w:p>
        </w:tc>
        <w:tc>
          <w:tcPr>
            <w:tcW w:type="dxa" w:w="2340"/>
          </w:tcPr>
          <w:p>
            <w:pPr>
              <w:jc w:val="center"/>
            </w:pPr>
            <w:r>
              <w:rPr>
                <w:rFonts w:ascii="Times New Roman" w:hAnsi="Times New Roman"/>
                <w:sz w:val="20"/>
              </w:rPr>
              <w:t>2–3 Hours</w:t>
            </w:r>
          </w:p>
        </w:tc>
        <w:tc>
          <w:tcPr>
            <w:tcW w:type="dxa" w:w="2340"/>
          </w:tcPr>
          <w:p>
            <w:pPr>
              <w:jc w:val="center"/>
            </w:pPr>
            <w:r>
              <w:rPr>
                <w:rFonts w:ascii="Times New Roman" w:hAnsi="Times New Roman"/>
                <w:sz w:val="20"/>
              </w:rPr>
              <w:t>10 Minutes</w:t>
            </w:r>
          </w:p>
        </w:tc>
        <w:tc>
          <w:tcPr>
            <w:tcW w:type="dxa" w:w="2340"/>
          </w:tcPr>
          <w:p>
            <w:pPr>
              <w:jc w:val="center"/>
            </w:pPr>
            <w:r>
              <w:rPr>
                <w:rFonts w:ascii="Times New Roman" w:hAnsi="Times New Roman"/>
                <w:b/>
                <w:sz w:val="20"/>
              </w:rPr>
              <w:t>90% Faster</w:t>
            </w:r>
          </w:p>
        </w:tc>
      </w:tr>
      <w:tr>
        <w:tc>
          <w:tcPr>
            <w:tcW w:type="dxa" w:w="2340"/>
          </w:tcPr>
          <w:p>
            <w:pPr>
              <w:jc w:val="left"/>
            </w:pPr>
            <w:r>
              <w:rPr>
                <w:rFonts w:ascii="Times New Roman" w:hAnsi="Times New Roman"/>
                <w:sz w:val="20"/>
              </w:rPr>
              <w:t>Gap Detection Analysis</w:t>
            </w:r>
          </w:p>
        </w:tc>
        <w:tc>
          <w:tcPr>
            <w:tcW w:type="dxa" w:w="2340"/>
          </w:tcPr>
          <w:p>
            <w:pPr>
              <w:jc w:val="center"/>
            </w:pPr>
            <w:r>
              <w:rPr>
                <w:rFonts w:ascii="Times New Roman" w:hAnsi="Times New Roman"/>
                <w:sz w:val="20"/>
              </w:rPr>
              <w:t>Manual Committee Review</w:t>
            </w:r>
          </w:p>
        </w:tc>
        <w:tc>
          <w:tcPr>
            <w:tcW w:type="dxa" w:w="2340"/>
          </w:tcPr>
          <w:p>
            <w:pPr>
              <w:jc w:val="center"/>
            </w:pPr>
            <w:r>
              <w:rPr>
                <w:rFonts w:ascii="Times New Roman" w:hAnsi="Times New Roman"/>
                <w:sz w:val="20"/>
              </w:rPr>
              <w:t>AI Matrix Analysis</w:t>
            </w:r>
          </w:p>
        </w:tc>
        <w:tc>
          <w:tcPr>
            <w:tcW w:type="dxa" w:w="2340"/>
          </w:tcPr>
          <w:p>
            <w:pPr>
              <w:jc w:val="center"/>
            </w:pPr>
            <w:r>
              <w:rPr>
                <w:rFonts w:ascii="Times New Roman" w:hAnsi="Times New Roman"/>
                <w:b/>
                <w:sz w:val="20"/>
              </w:rPr>
              <w:t>100% Automated</w:t>
            </w:r>
          </w:p>
        </w:tc>
      </w:tr>
      <w:tr>
        <w:tc>
          <w:tcPr>
            <w:tcW w:type="dxa" w:w="2340"/>
          </w:tcPr>
          <w:p>
            <w:pPr>
              <w:jc w:val="left"/>
            </w:pPr>
            <w:r>
              <w:rPr>
                <w:rFonts w:ascii="Times New Roman" w:hAnsi="Times New Roman"/>
                <w:sz w:val="20"/>
              </w:rPr>
              <w:t>Version Diff Tracking</w:t>
            </w:r>
          </w:p>
        </w:tc>
        <w:tc>
          <w:tcPr>
            <w:tcW w:type="dxa" w:w="2340"/>
          </w:tcPr>
          <w:p>
            <w:pPr>
              <w:jc w:val="center"/>
            </w:pPr>
            <w:r>
              <w:rPr>
                <w:rFonts w:ascii="Times New Roman" w:hAnsi="Times New Roman"/>
                <w:sz w:val="20"/>
              </w:rPr>
              <w:t>Word Redlines / Paper</w:t>
            </w:r>
          </w:p>
        </w:tc>
        <w:tc>
          <w:tcPr>
            <w:tcW w:type="dxa" w:w="2340"/>
          </w:tcPr>
          <w:p>
            <w:pPr>
              <w:jc w:val="center"/>
            </w:pPr>
            <w:r>
              <w:rPr>
                <w:rFonts w:ascii="Times New Roman" w:hAnsi="Times New Roman"/>
                <w:sz w:val="20"/>
              </w:rPr>
              <w:t>Built-in Visual Diff</w:t>
            </w:r>
          </w:p>
        </w:tc>
        <w:tc>
          <w:tcPr>
            <w:tcW w:type="dxa" w:w="2340"/>
          </w:tcPr>
          <w:p>
            <w:pPr>
              <w:jc w:val="center"/>
            </w:pPr>
            <w:r>
              <w:rPr>
                <w:rFonts w:ascii="Times New Roman" w:hAnsi="Times New Roman"/>
                <w:b/>
                <w:sz w:val="20"/>
              </w:rPr>
              <w:t>Instant Visual Inspection</w:t>
            </w:r>
          </w:p>
        </w:tc>
      </w:tr>
      <w:tr>
        <w:tc>
          <w:tcPr>
            <w:tcW w:type="dxa" w:w="2340"/>
          </w:tcPr>
          <w:p>
            <w:pPr>
              <w:jc w:val="left"/>
            </w:pPr>
            <w:r>
              <w:rPr>
                <w:rFonts w:ascii="Times New Roman" w:hAnsi="Times New Roman"/>
                <w:sz w:val="20"/>
              </w:rPr>
              <w:t>Accreditation Audit Report</w:t>
            </w:r>
          </w:p>
        </w:tc>
        <w:tc>
          <w:tcPr>
            <w:tcW w:type="dxa" w:w="2340"/>
          </w:tcPr>
          <w:p>
            <w:pPr>
              <w:jc w:val="center"/>
            </w:pPr>
            <w:r>
              <w:rPr>
                <w:rFonts w:ascii="Times New Roman" w:hAnsi="Times New Roman"/>
                <w:sz w:val="20"/>
              </w:rPr>
              <w:t>Manual Typing &amp; Compilation</w:t>
            </w:r>
          </w:p>
        </w:tc>
        <w:tc>
          <w:tcPr>
            <w:tcW w:type="dxa" w:w="2340"/>
          </w:tcPr>
          <w:p>
            <w:pPr>
              <w:jc w:val="center"/>
            </w:pPr>
            <w:r>
              <w:rPr>
                <w:rFonts w:ascii="Times New Roman" w:hAnsi="Times New Roman"/>
                <w:sz w:val="20"/>
              </w:rPr>
              <w:t>Auto PDF Export</w:t>
            </w:r>
          </w:p>
        </w:tc>
        <w:tc>
          <w:tcPr>
            <w:tcW w:type="dxa" w:w="2340"/>
          </w:tcPr>
          <w:p>
            <w:pPr>
              <w:jc w:val="center"/>
            </w:pPr>
            <w:r>
              <w:rPr>
                <w:rFonts w:ascii="Times New Roman" w:hAnsi="Times New Roman"/>
                <w:b/>
                <w:sz w:val="20"/>
              </w:rPr>
              <w:t>Instantaneous</w:t>
            </w:r>
          </w:p>
        </w:tc>
      </w:tr>
      <w:tr>
        <w:tc>
          <w:tcPr>
            <w:tcW w:type="dxa" w:w="2340"/>
          </w:tcPr>
          <w:p>
            <w:pPr>
              <w:jc w:val="left"/>
            </w:pPr>
            <w:r>
              <w:rPr>
                <w:rFonts w:ascii="Times New Roman" w:hAnsi="Times New Roman"/>
                <w:sz w:val="20"/>
              </w:rPr>
              <w:t>Credit Parity Verification</w:t>
            </w:r>
          </w:p>
        </w:tc>
        <w:tc>
          <w:tcPr>
            <w:tcW w:type="dxa" w:w="2340"/>
          </w:tcPr>
          <w:p>
            <w:pPr>
              <w:jc w:val="center"/>
            </w:pPr>
            <w:r>
              <w:rPr>
                <w:rFonts w:ascii="Times New Roman" w:hAnsi="Times New Roman"/>
                <w:sz w:val="20"/>
              </w:rPr>
              <w:t>Manual Calculator Checks</w:t>
            </w:r>
          </w:p>
        </w:tc>
        <w:tc>
          <w:tcPr>
            <w:tcW w:type="dxa" w:w="2340"/>
          </w:tcPr>
          <w:p>
            <w:pPr>
              <w:jc w:val="center"/>
            </w:pPr>
            <w:r>
              <w:rPr>
                <w:rFonts w:ascii="Times New Roman" w:hAnsi="Times New Roman"/>
                <w:sz w:val="20"/>
              </w:rPr>
              <w:t>Real-time 160 Cr Enforcement</w:t>
            </w:r>
          </w:p>
        </w:tc>
        <w:tc>
          <w:tcPr>
            <w:tcW w:type="dxa" w:w="2340"/>
          </w:tcPr>
          <w:p>
            <w:pPr>
              <w:jc w:val="center"/>
            </w:pPr>
            <w:r>
              <w:rPr>
                <w:rFonts w:ascii="Times New Roman" w:hAnsi="Times New Roman"/>
                <w:b/>
                <w:sz w:val="20"/>
              </w:rPr>
              <w:t>Error-Free &amp; Automated</w:t>
            </w:r>
          </w:p>
        </w:tc>
      </w:tr>
    </w:tbl>
    <w:p>
      <w:pPr>
        <w:spacing w:before="280" w:after="80"/>
        <w:jc w:val="left"/>
      </w:pPr>
      <w:r>
        <w:rPr>
          <w:rFonts w:ascii="Times New Roman" w:hAnsi="Times New Roman"/>
          <w:b/>
          <w:color w:val="000000"/>
          <w:sz w:val="32"/>
        </w:rPr>
        <w:t>9.3 Skill Gap Identification Accuracy</w:t>
      </w:r>
    </w:p>
    <w:p>
      <w:pPr>
        <w:spacing w:line="360" w:lineRule="auto" w:after="120"/>
        <w:jc w:val="both"/>
      </w:pPr>
      <w:r>
        <w:rPr>
          <w:rFonts w:ascii="Times New Roman" w:hAnsi="Times New Roman"/>
          <w:color w:val="000000"/>
          <w:sz w:val="24"/>
        </w:rPr>
        <w:t>Empirical evaluation demonstrated that CourseFlow accurately identifies missing industry competencies between institutional syllabi and updated AICTE models, as detailed in Table 9.2.</w:t>
      </w:r>
    </w:p>
    <w:p>
      <w:pPr>
        <w:spacing w:before="240" w:after="80"/>
        <w:jc w:val="center"/>
      </w:pPr>
      <w:r>
        <w:rPr>
          <w:rFonts w:ascii="Times New Roman" w:hAnsi="Times New Roman"/>
          <w:b/>
          <w:color w:val="000000"/>
          <w:sz w:val="22"/>
        </w:rPr>
        <w:t>Table 9.2: Skill Gap Analysis Between Institute Syllabus and AICTE Reference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Pr>
          <w:p>
            <w:r>
              <w:rPr>
                <w:b/>
              </w:rPr>
              <w:t>AICTE Reference Demand</w:t>
            </w:r>
          </w:p>
        </w:tc>
        <w:tc>
          <w:tcPr>
            <w:tcW w:type="dxa" w:w="3120"/>
          </w:tcPr>
          <w:p>
            <w:r>
              <w:rPr>
                <w:b/>
              </w:rPr>
              <w:t>Institute Syllabus Content</w:t>
            </w:r>
          </w:p>
        </w:tc>
        <w:tc>
          <w:tcPr>
            <w:tcW w:type="dxa" w:w="3120"/>
          </w:tcPr>
          <w:p>
            <w:r>
              <w:rPr>
                <w:b/>
              </w:rPr>
              <w:t>Identified Skill Gap</w:t>
            </w:r>
          </w:p>
        </w:tc>
      </w:tr>
      <w:tr>
        <w:tc>
          <w:tcPr>
            <w:tcW w:type="dxa" w:w="3120"/>
          </w:tcPr>
          <w:p>
            <w:r>
              <w:rPr>
                <w:rFonts w:ascii="Times New Roman" w:hAnsi="Times New Roman"/>
                <w:sz w:val="20"/>
              </w:rPr>
              <w:t>Python, DBMS, ML, Cloud</w:t>
            </w:r>
          </w:p>
        </w:tc>
        <w:tc>
          <w:tcPr>
            <w:tcW w:type="dxa" w:w="3120"/>
          </w:tcPr>
          <w:p>
            <w:r>
              <w:rPr>
                <w:rFonts w:ascii="Times New Roman" w:hAnsi="Times New Roman"/>
                <w:sz w:val="20"/>
              </w:rPr>
              <w:t>Python, DBMS, ML</w:t>
            </w:r>
          </w:p>
        </w:tc>
        <w:tc>
          <w:tcPr>
            <w:tcW w:type="dxa" w:w="3120"/>
            <w:shd w:fill="FEE2E2"/>
          </w:tcPr>
          <w:p>
            <w:r>
              <w:rPr>
                <w:rFonts w:ascii="Times New Roman" w:hAnsi="Times New Roman"/>
                <w:b/>
                <w:sz w:val="20"/>
              </w:rPr>
              <w:t>Cloud Infrastructure &amp; Microservices</w:t>
            </w:r>
          </w:p>
        </w:tc>
      </w:tr>
      <w:tr>
        <w:tc>
          <w:tcPr>
            <w:tcW w:type="dxa" w:w="3120"/>
          </w:tcPr>
          <w:p>
            <w:r>
              <w:rPr>
                <w:rFonts w:ascii="Times New Roman" w:hAnsi="Times New Roman"/>
                <w:sz w:val="20"/>
              </w:rPr>
              <w:t>Generative AI, MLOps, DevOps</w:t>
            </w:r>
          </w:p>
        </w:tc>
        <w:tc>
          <w:tcPr>
            <w:tcW w:type="dxa" w:w="3120"/>
          </w:tcPr>
          <w:p>
            <w:r>
              <w:rPr>
                <w:rFonts w:ascii="Times New Roman" w:hAnsi="Times New Roman"/>
                <w:sz w:val="20"/>
              </w:rPr>
              <w:t>ML, Neural Networks</w:t>
            </w:r>
          </w:p>
        </w:tc>
        <w:tc>
          <w:tcPr>
            <w:tcW w:type="dxa" w:w="3120"/>
            <w:shd w:fill="FEE2E2"/>
          </w:tcPr>
          <w:p>
            <w:r>
              <w:rPr>
                <w:rFonts w:ascii="Times New Roman" w:hAnsi="Times New Roman"/>
                <w:b/>
                <w:sz w:val="20"/>
              </w:rPr>
              <w:t>MLOps, Generative AI &amp; Prompt Eng.</w:t>
            </w:r>
          </w:p>
        </w:tc>
      </w:tr>
      <w:tr>
        <w:tc>
          <w:tcPr>
            <w:tcW w:type="dxa" w:w="3120"/>
          </w:tcPr>
          <w:p>
            <w:r>
              <w:rPr>
                <w:rFonts w:ascii="Times New Roman" w:hAnsi="Times New Roman"/>
                <w:sz w:val="20"/>
              </w:rPr>
              <w:t>Cloud Security, DevSecOps</w:t>
            </w:r>
          </w:p>
        </w:tc>
        <w:tc>
          <w:tcPr>
            <w:tcW w:type="dxa" w:w="3120"/>
          </w:tcPr>
          <w:p>
            <w:r>
              <w:rPr>
                <w:rFonts w:ascii="Times New Roman" w:hAnsi="Times New Roman"/>
                <w:sz w:val="20"/>
              </w:rPr>
              <w:t>Web Technologies, Node.js</w:t>
            </w:r>
          </w:p>
        </w:tc>
        <w:tc>
          <w:tcPr>
            <w:tcW w:type="dxa" w:w="3120"/>
            <w:shd w:fill="FEE2E2"/>
          </w:tcPr>
          <w:p>
            <w:r>
              <w:rPr>
                <w:rFonts w:ascii="Times New Roman" w:hAnsi="Times New Roman"/>
                <w:b/>
                <w:sz w:val="20"/>
              </w:rPr>
              <w:t>DevSecOps &amp; Container Security</w:t>
            </w:r>
          </w:p>
        </w:tc>
      </w:tr>
      <w:tr>
        <w:tc>
          <w:tcPr>
            <w:tcW w:type="dxa" w:w="3120"/>
          </w:tcPr>
          <w:p>
            <w:r>
              <w:rPr>
                <w:rFonts w:ascii="Times New Roman" w:hAnsi="Times New Roman"/>
                <w:sz w:val="20"/>
              </w:rPr>
              <w:t>Distributed Systems, Kubernetes</w:t>
            </w:r>
          </w:p>
        </w:tc>
        <w:tc>
          <w:tcPr>
            <w:tcW w:type="dxa" w:w="3120"/>
          </w:tcPr>
          <w:p>
            <w:r>
              <w:rPr>
                <w:rFonts w:ascii="Times New Roman" w:hAnsi="Times New Roman"/>
                <w:sz w:val="20"/>
              </w:rPr>
              <w:t>Operating Systems, Networking</w:t>
            </w:r>
          </w:p>
        </w:tc>
        <w:tc>
          <w:tcPr>
            <w:tcW w:type="dxa" w:w="3120"/>
            <w:shd w:fill="FEE2E2"/>
          </w:tcPr>
          <w:p>
            <w:r>
              <w:rPr>
                <w:rFonts w:ascii="Times New Roman" w:hAnsi="Times New Roman"/>
                <w:b/>
                <w:sz w:val="20"/>
              </w:rPr>
              <w:t>Containerization &amp; Orchestration</w:t>
            </w:r>
          </w:p>
        </w:tc>
      </w:tr>
    </w:tbl>
    <w:p>
      <w:pPr>
        <w:spacing w:before="280" w:after="80"/>
        <w:jc w:val="left"/>
      </w:pPr>
      <w:r>
        <w:rPr>
          <w:rFonts w:ascii="Times New Roman" w:hAnsi="Times New Roman"/>
          <w:b/>
          <w:color w:val="000000"/>
          <w:sz w:val="32"/>
        </w:rPr>
        <w:t>9.4 Comparative Analysis with Conventional Systems</w:t>
      </w:r>
    </w:p>
    <w:p>
      <w:pPr>
        <w:spacing w:line="360" w:lineRule="auto" w:after="120"/>
        <w:jc w:val="both"/>
      </w:pPr>
      <w:r>
        <w:rPr>
          <w:rFonts w:ascii="Times New Roman" w:hAnsi="Times New Roman"/>
          <w:color w:val="000000"/>
          <w:sz w:val="24"/>
        </w:rPr>
        <w:t>Unlike traditional enterprise university software that focuses strictly on transactional student data, CourseFlow introduces academic agility. Faculty can propose targeted updates without fear of breaking degree credit sums, while HODs review only the exact delta diffs in Board of Studies sessions.</w:t>
      </w:r>
    </w:p>
    <w:p>
      <w:pPr>
        <w:spacing w:before="280" w:after="80"/>
        <w:jc w:val="left"/>
      </w:pPr>
      <w:r>
        <w:rPr>
          <w:rFonts w:ascii="Times New Roman" w:hAnsi="Times New Roman"/>
          <w:b/>
          <w:color w:val="000000"/>
          <w:sz w:val="32"/>
        </w:rPr>
        <w:t>9.5 Summary of Findings</w:t>
      </w:r>
    </w:p>
    <w:p>
      <w:pPr>
        <w:spacing w:line="360" w:lineRule="auto" w:after="120"/>
        <w:jc w:val="both"/>
      </w:pPr>
      <w:r>
        <w:rPr>
          <w:rFonts w:ascii="Times New Roman" w:hAnsi="Times New Roman"/>
          <w:color w:val="000000"/>
          <w:sz w:val="24"/>
        </w:rPr>
        <w:t>Overall, the system reduces total curriculum preparation and revision effort by over 90%, maintains strict 160.0 Credits fidelity, and guarantees historical revision transparency across all departments.</w:t>
      </w:r>
    </w:p>
    <w:p>
      <w:r>
        <w:br w:type="page"/>
      </w:r>
    </w:p>
    <w:p>
      <w:pPr>
        <w:spacing w:before="240" w:after="80"/>
        <w:jc w:val="center"/>
      </w:pPr>
      <w:r>
        <w:rPr>
          <w:rFonts w:ascii="Times New Roman" w:hAnsi="Times New Roman"/>
          <w:b/>
          <w:color w:val="000000"/>
          <w:sz w:val="36"/>
        </w:rPr>
        <w:t>CHAPTER-10</w:t>
        <w:br/>
      </w:r>
      <w:r>
        <w:rPr>
          <w:rFonts w:ascii="Times New Roman" w:hAnsi="Times New Roman"/>
          <w:b/>
          <w:color w:val="000000"/>
          <w:sz w:val="36"/>
        </w:rPr>
        <w:t>CONCLUSION AND FUTURE WORK</w:t>
      </w:r>
    </w:p>
    <w:p>
      <w:pPr>
        <w:spacing w:before="280" w:after="80"/>
        <w:jc w:val="left"/>
      </w:pPr>
      <w:r>
        <w:rPr>
          <w:rFonts w:ascii="Times New Roman" w:hAnsi="Times New Roman"/>
          <w:b/>
          <w:color w:val="000000"/>
          <w:sz w:val="32"/>
        </w:rPr>
        <w:t>10.1 Summary of Contributions</w:t>
      </w:r>
    </w:p>
    <w:p>
      <w:pPr>
        <w:spacing w:line="360" w:lineRule="auto" w:after="120"/>
        <w:jc w:val="both"/>
      </w:pPr>
      <w:r>
        <w:rPr>
          <w:rFonts w:ascii="Times New Roman" w:hAnsi="Times New Roman"/>
          <w:color w:val="000000"/>
          <w:sz w:val="24"/>
        </w:rPr>
        <w:t>CourseFlow successfully digitizes, standardizes, and modernizes academic curriculum management for AICTE-approved engineering institutions. By eliminating static paper documents and ad-hoc email revisions, CourseFlow empowers institutions to maintain agile, modern, and accredited curricula.</w:t>
      </w:r>
    </w:p>
    <w:p>
      <w:pPr>
        <w:spacing w:before="280" w:after="80"/>
        <w:jc w:val="left"/>
      </w:pPr>
      <w:r>
        <w:rPr>
          <w:rFonts w:ascii="Times New Roman" w:hAnsi="Times New Roman"/>
          <w:b/>
          <w:color w:val="000000"/>
          <w:sz w:val="32"/>
        </w:rPr>
        <w:t>10.2 Practical Limitations of the Current Study</w:t>
      </w:r>
    </w:p>
    <w:p>
      <w:pPr>
        <w:spacing w:line="360" w:lineRule="auto" w:after="120"/>
        <w:jc w:val="both"/>
      </w:pPr>
      <w:r>
        <w:rPr>
          <w:rFonts w:ascii="Times New Roman" w:hAnsi="Times New Roman"/>
          <w:color w:val="000000"/>
          <w:sz w:val="24"/>
        </w:rPr>
        <w:t>Current extraction models rely on standard text-based PDF formats; scanned image PDFs containing handwritten notes require supplementary OCR preprocessing pipelines. Furthermore, automated AI alignment recommendations currently operate via heuristic semantic matching.</w:t>
      </w:r>
    </w:p>
    <w:p>
      <w:pPr>
        <w:spacing w:before="280" w:after="80"/>
        <w:jc w:val="left"/>
      </w:pPr>
      <w:r>
        <w:rPr>
          <w:rFonts w:ascii="Times New Roman" w:hAnsi="Times New Roman"/>
          <w:b/>
          <w:color w:val="000000"/>
          <w:sz w:val="32"/>
        </w:rPr>
        <w:t>10.3 Suggestions for Future Enhancements</w:t>
      </w:r>
    </w:p>
    <w:p>
      <w:pPr>
        <w:spacing w:line="360" w:lineRule="auto" w:after="120"/>
        <w:jc w:val="both"/>
      </w:pPr>
      <w:r>
        <w:rPr>
          <w:rFonts w:ascii="Times New Roman" w:hAnsi="Times New Roman"/>
          <w:color w:val="000000"/>
          <w:sz w:val="24"/>
        </w:rPr>
        <w:t>Future work will introduce production microservices architectures, including a C# .NET 8 Web API enforcing production REST controllers and Entity Framework Core persistence, a Python microservice utilizing fine-tuned Sentence Transformers for automated semantic embedding comparisons, and NGINX API Gateway with JWT bearer tokens.</w:t>
      </w:r>
    </w:p>
    <w:p>
      <w:r>
        <w:br w:type="page"/>
      </w:r>
    </w:p>
    <w:p>
      <w:pPr>
        <w:jc w:val="center"/>
      </w:pPr>
      <w:r>
        <w:rPr>
          <w:rFonts w:ascii="Times New Roman" w:hAnsi="Times New Roman"/>
          <w:b/>
          <w:sz w:val="36"/>
        </w:rPr>
        <w:t>REFERENCES</w:t>
      </w:r>
    </w:p>
    <w:p>
      <w:pPr>
        <w:spacing w:line="360" w:lineRule="auto" w:after="120"/>
        <w:jc w:val="both"/>
      </w:pPr>
      <w:r>
        <w:rPr>
          <w:rFonts w:ascii="Times New Roman" w:hAnsi="Times New Roman"/>
          <w:sz w:val="22"/>
        </w:rPr>
        <w:t>[1] Al Jubori, U., Shorman, S., and Khder, M. A. (2024) ‘Curriculum management system to measure course &amp; program outcomes’, International Journal of Information and Education Technology, vol. 14, no. 3, pp. 210–218.</w:t>
      </w:r>
    </w:p>
    <w:p>
      <w:pPr>
        <w:spacing w:line="360" w:lineRule="auto" w:after="120"/>
        <w:jc w:val="both"/>
      </w:pPr>
      <w:r>
        <w:rPr>
          <w:rFonts w:ascii="Times New Roman" w:hAnsi="Times New Roman"/>
          <w:sz w:val="22"/>
        </w:rPr>
        <w:t>[2] Al-Mulla, M., Al-Turki, A., and Hassan, S. (2025) ‘OBC-ONTO: Ontological framework for the analysis of outcome-based curriculum in higher education’, IEEE Access, vol. 13, pp. 24110–24125.</w:t>
      </w:r>
    </w:p>
    <w:p>
      <w:pPr>
        <w:spacing w:line="360" w:lineRule="auto" w:after="120"/>
        <w:jc w:val="both"/>
      </w:pPr>
      <w:r>
        <w:rPr>
          <w:rFonts w:ascii="Times New Roman" w:hAnsi="Times New Roman"/>
          <w:sz w:val="22"/>
        </w:rPr>
        <w:t>[3] All India Council for Technical Education (2024) Model Curriculum for Undergraduate &amp; Postgraduate Degree Courses in Engineering &amp; Technology, Ministry of Education, Government of India, New Delhi.</w:t>
      </w:r>
    </w:p>
    <w:p>
      <w:pPr>
        <w:spacing w:line="360" w:lineRule="auto" w:after="120"/>
        <w:jc w:val="both"/>
      </w:pPr>
      <w:r>
        <w:rPr>
          <w:rFonts w:ascii="Times New Roman" w:hAnsi="Times New Roman"/>
          <w:sz w:val="22"/>
        </w:rPr>
        <w:t>[4] Chen, A., Wei, H., and Lin, Z. (2024) ‘Enterprise academic portal for curriculum standardization across university networks’, Journal of Systems and Software in Higher Education, vol. 22, no. 2, pp. 145–158.</w:t>
      </w:r>
    </w:p>
    <w:p>
      <w:pPr>
        <w:spacing w:line="360" w:lineRule="auto" w:after="120"/>
        <w:jc w:val="both"/>
      </w:pPr>
      <w:r>
        <w:rPr>
          <w:rFonts w:ascii="Times New Roman" w:hAnsi="Times New Roman"/>
          <w:sz w:val="22"/>
        </w:rPr>
        <w:t>[5] Haritha, D., Suneetha, M., and Kavitha, D. (2024) ‘Outcome-based curriculum development for engineering courses utilizing text mining’, in Proceedings of the IEEE International Conference on Advanced Computing, pp. 88–94.</w:t>
      </w:r>
    </w:p>
    <w:p>
      <w:pPr>
        <w:spacing w:line="360" w:lineRule="auto" w:after="120"/>
        <w:jc w:val="both"/>
      </w:pPr>
      <w:r>
        <w:rPr>
          <w:rFonts w:ascii="Times New Roman" w:hAnsi="Times New Roman"/>
          <w:sz w:val="22"/>
        </w:rPr>
        <w:t>[6] Hermawan, H. D., Nurhikmat, A., and Sani, R. A. (2025) ‘PLO-driven engineering curriculum framework using Django: A HITL workflow for CLO–KSEC mapping’, IEEE Transactions on Education, vol. 68, no. 1, pp. 78–86.</w:t>
      </w:r>
    </w:p>
    <w:p>
      <w:pPr>
        <w:spacing w:line="360" w:lineRule="auto" w:after="120"/>
        <w:jc w:val="both"/>
      </w:pPr>
      <w:r>
        <w:rPr>
          <w:rFonts w:ascii="Times New Roman" w:hAnsi="Times New Roman"/>
          <w:sz w:val="22"/>
        </w:rPr>
        <w:t>[7] Li, W. and Wang, Y. (2024) ‘Collaborative framework for OBE curriculum engineering in multi-disciplinary colleges’, in Proceedings of the IEEE International Conference on Educational Technology (ICET), pp. 112–118.</w:t>
      </w:r>
    </w:p>
    <w:p>
      <w:pPr>
        <w:spacing w:line="360" w:lineRule="auto" w:after="120"/>
        <w:jc w:val="both"/>
      </w:pPr>
      <w:r>
        <w:rPr>
          <w:rFonts w:ascii="Times New Roman" w:hAnsi="Times New Roman"/>
          <w:sz w:val="22"/>
        </w:rPr>
        <w:t>[8] Padovano, A. and Cardamone, M. (2024) ‘Human-AI collaboration in competency-based curriculum development’, Computers &amp; Education: Artificial Intelligence, vol. 6, p. 100215.</w:t>
      </w:r>
    </w:p>
    <w:p>
      <w:pPr>
        <w:spacing w:line="360" w:lineRule="auto" w:after="120"/>
        <w:jc w:val="both"/>
      </w:pPr>
      <w:r>
        <w:rPr>
          <w:rFonts w:ascii="Times New Roman" w:hAnsi="Times New Roman"/>
          <w:sz w:val="22"/>
        </w:rPr>
        <w:t>[9] Raza, M. H., Ahmad, T., and Khan, S. A. (2024) ‘Integrated digital platform for curriculum design, review, &amp; CQI in technical education’, IEEE Access, vol. 12, pp. 54201–54215.</w:t>
      </w:r>
    </w:p>
    <w:p>
      <w:pPr>
        <w:spacing w:line="360" w:lineRule="auto" w:after="120"/>
        <w:jc w:val="both"/>
      </w:pPr>
      <w:r>
        <w:rPr>
          <w:rFonts w:ascii="Times New Roman" w:hAnsi="Times New Roman"/>
          <w:sz w:val="22"/>
        </w:rPr>
        <w:t>[10] Tiwari, P. and Kumar, R. (2024) ‘Web-based academic portal for standardized syllabus distribution in university networks’, in Proceedings of the IEEE International Conference on Academic Computing (ICAC), pp. 301–307.</w:t>
      </w:r>
    </w:p>
    <w:p>
      <w:pPr>
        <w:spacing w:line="360" w:lineRule="auto" w:after="120"/>
        <w:jc w:val="both"/>
      </w:pPr>
      <w:r>
        <w:rPr>
          <w:rFonts w:ascii="Times New Roman" w:hAnsi="Times New Roman"/>
          <w:sz w:val="22"/>
        </w:rPr>
        <w:t>[11] Zhang, L., Wang, Y., and Liu, X. (2024) ‘Data-driven curriculum mapping &amp; skill gap analysis using graph neural networks’, Journal of Educational Data Mining, vol. 16, no. 1, pp. 45–62.</w:t>
      </w:r>
    </w:p>
    <w:p>
      <w:r>
        <w:br w:type="page"/>
      </w:r>
    </w:p>
    <w:p>
      <w:pPr>
        <w:spacing w:before="240" w:after="80"/>
        <w:jc w:val="center"/>
      </w:pPr>
      <w:r>
        <w:rPr>
          <w:rFonts w:ascii="Times New Roman" w:hAnsi="Times New Roman"/>
          <w:b/>
          <w:color w:val="000000"/>
          <w:sz w:val="36"/>
        </w:rPr>
        <w:t>CHAPTER-A</w:t>
        <w:br/>
      </w:r>
      <w:r>
        <w:rPr>
          <w:rFonts w:ascii="Times New Roman" w:hAnsi="Times New Roman"/>
          <w:b/>
          <w:color w:val="000000"/>
          <w:sz w:val="36"/>
        </w:rPr>
        <w:t>APPENDIX-A: PSEUDOCODE</w:t>
      </w:r>
    </w:p>
    <w:p>
      <w:pPr>
        <w:spacing w:line="360" w:lineRule="auto" w:after="120"/>
        <w:jc w:val="both"/>
      </w:pPr>
      <w:r>
        <w:rPr>
          <w:rFonts w:ascii="Times New Roman" w:hAnsi="Times New Roman"/>
          <w:b/>
          <w:color w:val="000000"/>
          <w:sz w:val="24"/>
        </w:rPr>
        <w:t xml:space="preserve">ALGORITHM 1.1: </w:t>
      </w:r>
      <w:r>
        <w:rPr>
          <w:rFonts w:ascii="Times New Roman" w:hAnsi="Times New Roman"/>
          <w:color w:val="000000"/>
          <w:sz w:val="24"/>
        </w:rPr>
        <w:t>Algorithm 1: Automated Syllabus Extraction and Segregation Pipeline</w:t>
      </w:r>
    </w:p>
    <w:p>
      <w:pPr>
        <w:spacing w:line="360" w:lineRule="auto" w:after="120"/>
        <w:jc w:val="both"/>
      </w:pPr>
      <w:r>
        <w:rPr>
          <w:rFonts w:ascii="Times New Roman" w:hAnsi="Times New Roman"/>
          <w:color w:val="000000"/>
          <w:sz w:val="24"/>
        </w:rPr>
        <w:t>Input: PDF Document D_pdf, Target University U_name</w:t>
        <w:br/>
        <w:t>Output: Structured Curriculum Model C_curr</w:t>
        <w:br/>
        <w:br/>
        <w:t>1. Initialize Reader = pypdf.PdfReader(D_pdf)</w:t>
        <w:br/>
        <w:t>2. If CacheExists(U_name, D_pdf) Then Return ReadFromCache(U_name)</w:t>
        <w:br/>
        <w:t>3. Set Semesters = [], TotalCredits = 0.0</w:t>
        <w:br/>
        <w:t>4. For each Semester S_num from 1 to 8 Do:</w:t>
        <w:br/>
        <w:t xml:space="preserve">     Courses = ExtractCoursesFromTable(Reader, S_num)</w:t>
        <w:br/>
        <w:t xml:space="preserve">     For each Course C in Courses Do:</w:t>
        <w:br/>
        <w:t xml:space="preserve">         C.Units = ExtractCourseCatalogue(Reader, C.Code)</w:t>
        <w:br/>
        <w:t xml:space="preserve">         C.Outcomes = ExtractCourseOutcomes(Reader, C.Code)</w:t>
        <w:br/>
        <w:t xml:space="preserve">         C.Textbooks = ExtractTextbooks(Reader, C.Code)</w:t>
        <w:br/>
        <w:t xml:space="preserve">     End For</w:t>
        <w:br/>
        <w:t xml:space="preserve">     SemCredits = Sum(C.Credits for C in Courses)</w:t>
        <w:br/>
        <w:t xml:space="preserve">     Append Semester(S_num, Courses, SemCredits) to Semesters</w:t>
        <w:br/>
        <w:t xml:space="preserve">     TotalCredits += SemCredits</w:t>
        <w:br/>
        <w:t>5. End For</w:t>
        <w:br/>
        <w:t>6. Validate TotalCredits == 160.0 (Enforce NCrF Standard)</w:t>
        <w:br/>
        <w:t>7. SaveToCache(Curriculum(U_name, Semesters, TotalCredits))</w:t>
        <w:br/>
        <w:t>8. Return Curriculum</w:t>
      </w:r>
    </w:p>
    <w:p>
      <w:pPr>
        <w:spacing w:line="360" w:lineRule="auto" w:after="120"/>
        <w:jc w:val="both"/>
      </w:pPr>
      <w:r>
        <w:rPr>
          <w:rFonts w:ascii="Times New Roman" w:hAnsi="Times New Roman"/>
          <w:b/>
          <w:color w:val="000000"/>
          <w:sz w:val="24"/>
        </w:rPr>
        <w:t xml:space="preserve">ALGORITHM 1.2: </w:t>
      </w:r>
      <w:r>
        <w:rPr>
          <w:rFonts w:ascii="Times New Roman" w:hAnsi="Times New Roman"/>
          <w:color w:val="000000"/>
          <w:sz w:val="24"/>
        </w:rPr>
        <w:t>Algorithm 2: Live Delta Diff and Board of Studies Approval Engine</w:t>
      </w:r>
    </w:p>
    <w:p>
      <w:pPr>
        <w:spacing w:line="360" w:lineRule="auto" w:after="120"/>
        <w:jc w:val="both"/>
      </w:pPr>
      <w:r>
        <w:rPr>
          <w:rFonts w:ascii="Times New Roman" w:hAnsi="Times New Roman"/>
          <w:color w:val="000000"/>
          <w:sz w:val="24"/>
        </w:rPr>
        <w:t>Input: CourseCode, ProposedUnits, RevisionNotes, CurrentVersion</w:t>
        <w:br/>
        <w:t>Output: Ratified Scheme with Incremented Version</w:t>
        <w:br/>
        <w:br/>
        <w:t>1. BaselineUnits = GetApprovedUnits(CourseCode)</w:t>
        <w:br/>
        <w:t>2. AddedTopics = ProposedUnits.Topics - BaselineUnits.Topics</w:t>
        <w:br/>
        <w:t>3. PrunedTopics = BaselineUnits.Topics - ProposedUnits.Topics</w:t>
        <w:br/>
        <w:t>4. Render Live Banner: '+N Added, -M Pruned Topics'</w:t>
        <w:br/>
        <w:t>5. If Action == 'SubmitForReview' Then:</w:t>
        <w:br/>
        <w:t xml:space="preserve">     Set Course.ReviewStatus = 'PendingBoSApproval'</w:t>
        <w:br/>
        <w:t xml:space="preserve">     SaveProposedDiff(AddedTopics, PrunedTopics, RevisionNotes)</w:t>
        <w:br/>
        <w:t>6. If Action == 'HOD_Approve' Then:</w:t>
        <w:br/>
        <w:t xml:space="preserve">     Set Course.ReviewStatus = 'Approved'</w:t>
        <w:br/>
        <w:t xml:space="preserve">     NewVersion = IncrementVersion(CurrentVersion)  // e.g. v1.0 -&gt; v2.0</w:t>
        <w:br/>
        <w:t xml:space="preserve">     RecordAuditLog(NewVersion, Timestamp, HOD_Name, RevisionNotes)</w:t>
        <w:br/>
        <w:t xml:space="preserve">     PersistToCurriculum(CourseCode, ProposedUnits, NewVersion)</w:t>
        <w:br/>
        <w:t>7. End If</w:t>
      </w:r>
    </w:p>
    <w:p>
      <w:r>
        <w:br w:type="page"/>
      </w:r>
    </w:p>
    <w:p>
      <w:pPr>
        <w:spacing w:before="240" w:after="80"/>
        <w:jc w:val="center"/>
      </w:pPr>
      <w:r>
        <w:rPr>
          <w:rFonts w:ascii="Times New Roman" w:hAnsi="Times New Roman"/>
          <w:b/>
          <w:color w:val="000000"/>
          <w:sz w:val="36"/>
        </w:rPr>
        <w:t>CHAPTER-B</w:t>
        <w:br/>
      </w:r>
      <w:r>
        <w:rPr>
          <w:rFonts w:ascii="Times New Roman" w:hAnsi="Times New Roman"/>
          <w:b/>
          <w:color w:val="000000"/>
          <w:sz w:val="36"/>
        </w:rPr>
        <w:t>APPENDIX-B: SCREENSHOTS</w:t>
      </w:r>
    </w:p>
    <w:p>
      <w:pPr>
        <w:spacing w:line="360" w:lineRule="auto" w:after="120"/>
        <w:jc w:val="both"/>
      </w:pPr>
      <w:r>
        <w:rPr>
          <w:rFonts w:ascii="Times New Roman" w:hAnsi="Times New Roman"/>
          <w:color w:val="000000"/>
          <w:sz w:val="24"/>
        </w:rPr>
        <w:t>This appendix catalogues the verified user interface modules of CourseFlow:</w:t>
      </w:r>
    </w:p>
    <w:p>
      <w:pPr>
        <w:spacing w:line="360" w:lineRule="auto" w:after="120"/>
        <w:jc w:val="both"/>
      </w:pPr>
      <w:r>
        <w:rPr>
          <w:rFonts w:ascii="Times New Roman" w:hAnsi="Times New Roman"/>
          <w:color w:val="000000"/>
          <w:sz w:val="24"/>
        </w:rPr>
        <w:t>Figure B.1: Public Student Program &amp; Subject Browsing Catalog</w:t>
        <w:br/>
        <w:t>Figure B.2: Role-Based Authentication Modal &amp; Adaptive Access Dashboard</w:t>
        <w:br/>
        <w:t>Figure B.3: Automated PDF Upload Studio &amp; Side-by-Side Extraction Verification</w:t>
        <w:br/>
        <w:t>Figure B.4: 8-Semester Tree Syllabus &amp; Modular Course Authoring Editor</w:t>
        <w:br/>
        <w:t>Figure B.5: AI Benchmark Alignment Matrix with AICTE CSE Model Matching</w:t>
        <w:br/>
        <w:t>Figure B.6: Recharts Skill Competency Gap Visualization &amp; Analytics Dashboard</w:t>
        <w:br/>
        <w:t>Figure B.7: Visual Delta Version Revision Diff Engine &amp; Expedited HOD Review Queue</w:t>
        <w:br/>
        <w:t>Figure B.8: Two-Tier Version History &amp; Ratified BoS Audit Trail Modal</w:t>
        <w:br/>
        <w:t>Figure B.9: PDF Compliance Report Exporter &amp; Accreditation Dossier Generator</w:t>
      </w:r>
    </w:p>
    <w:p>
      <w:r>
        <w:br w:type="page"/>
      </w:r>
    </w:p>
    <w:p>
      <w:pPr>
        <w:spacing w:before="240" w:after="80"/>
        <w:jc w:val="center"/>
      </w:pPr>
      <w:r>
        <w:rPr>
          <w:rFonts w:ascii="Times New Roman" w:hAnsi="Times New Roman"/>
          <w:b/>
          <w:color w:val="000000"/>
          <w:sz w:val="36"/>
        </w:rPr>
        <w:t>CHAPTER-C</w:t>
        <w:br/>
      </w:r>
      <w:r>
        <w:rPr>
          <w:rFonts w:ascii="Times New Roman" w:hAnsi="Times New Roman"/>
          <w:b/>
          <w:color w:val="000000"/>
          <w:sz w:val="36"/>
        </w:rPr>
        <w:t>APPENDIX-C: ENCLOSURES</w:t>
      </w:r>
    </w:p>
    <w:p>
      <w:pPr>
        <w:spacing w:line="360" w:lineRule="auto" w:after="120"/>
        <w:jc w:val="both"/>
      </w:pPr>
      <w:r>
        <w:rPr>
          <w:rFonts w:ascii="Times New Roman" w:hAnsi="Times New Roman"/>
          <w:b/>
          <w:color w:val="000000"/>
          <w:sz w:val="24"/>
        </w:rPr>
        <w:t xml:space="preserve">1. Publication Details: </w:t>
      </w:r>
      <w:r>
        <w:rPr>
          <w:rFonts w:ascii="Times New Roman" w:hAnsi="Times New Roman"/>
          <w:color w:val="000000"/>
          <w:sz w:val="24"/>
        </w:rPr>
        <w:t>1. Conference Publication Draft: CourseFlow: A Unified Portal for Developing a Model Curriculum for AICTE Institutes (Submitted to IEEE Conference on Advanced Computing &amp; Education Technology).</w:t>
      </w:r>
    </w:p>
    <w:p>
      <w:pPr>
        <w:spacing w:line="360" w:lineRule="auto" w:after="120"/>
        <w:jc w:val="both"/>
      </w:pPr>
      <w:r>
        <w:rPr>
          <w:rFonts w:ascii="Times New Roman" w:hAnsi="Times New Roman"/>
          <w:b/>
          <w:color w:val="000000"/>
          <w:sz w:val="24"/>
        </w:rPr>
        <w:t xml:space="preserve">2. Student Author Credentials: </w:t>
      </w:r>
      <w:r>
        <w:rPr>
          <w:rFonts w:ascii="Times New Roman" w:hAnsi="Times New Roman"/>
          <w:color w:val="000000"/>
          <w:sz w:val="24"/>
        </w:rPr>
        <w:t>Registered Student Authors: Asifa Khatoon (20231CSE0582), H Khadeeja Nehla Suneer (20231CSE0571), Abhishek Patil S N (20231CSE0336), Presidency University, Bengaluru.</w:t>
      </w:r>
    </w:p>
    <w:p>
      <w:pPr>
        <w:spacing w:line="360" w:lineRule="auto" w:after="120"/>
        <w:jc w:val="both"/>
      </w:pPr>
      <w:r>
        <w:rPr>
          <w:rFonts w:ascii="Times New Roman" w:hAnsi="Times New Roman"/>
          <w:b/>
          <w:color w:val="000000"/>
          <w:sz w:val="24"/>
        </w:rPr>
        <w:t xml:space="preserve">3. Plagiarism &amp; Originality Index: </w:t>
      </w:r>
      <w:r>
        <w:rPr>
          <w:rFonts w:ascii="Times New Roman" w:hAnsi="Times New Roman"/>
          <w:color w:val="000000"/>
          <w:sz w:val="24"/>
        </w:rPr>
        <w:t>Similarity Index &lt; 10% (Verified strictly adhering to academic integrity standards without plagiarized collation).</w:t>
      </w:r>
    </w:p>
    <w:p>
      <w:pPr>
        <w:spacing w:line="360" w:lineRule="auto" w:after="120"/>
        <w:jc w:val="both"/>
      </w:pPr>
      <w:r>
        <w:rPr>
          <w:rFonts w:ascii="Times New Roman" w:hAnsi="Times New Roman"/>
          <w:b/>
          <w:color w:val="000000"/>
          <w:sz w:val="24"/>
        </w:rPr>
        <w:t xml:space="preserve">4. UN SDG 9 Alignment: </w:t>
      </w:r>
      <w:r>
        <w:rPr>
          <w:rFonts w:ascii="Times New Roman" w:hAnsi="Times New Roman"/>
          <w:color w:val="000000"/>
          <w:sz w:val="24"/>
        </w:rPr>
        <w:t>Directly advances UN Sustainable Development Goal 9 (Industry, Innovation, and Infrastructure) by establishing resilient, standardized digital infrastructure for national higher education governance and regulatory transparency.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pPr>
    <w:r>
      <w:rPr>
        <w:rFonts w:ascii="Times New Roman" w:hAnsi="Times New Roman"/>
        <w:color w:val="505050"/>
        <w:sz w:val="17"/>
      </w:rPr>
      <w:t>Presidency School of Computer Science and Engineering, Presidency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00000"/>
      </w:pBdr>
    </w:pPr>
    <w:r>
      <w:rPr>
        <w:rFonts w:ascii="Times New Roman" w:hAnsi="Times New Roman"/>
        <w:i/>
        <w:color w:val="646464"/>
        <w:sz w:val="17"/>
      </w:rPr>
      <w:t>CourseFlow: Unified Portal for Developing a Model Curriculum for AICTE Institutes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