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B365D"/>
          <w:sz w:val="40"/>
        </w:rPr>
        <w:t>PROJECT YOINK: TECHNICAL SPECIFICATION &amp; ROADMAP</w:t>
      </w:r>
    </w:p>
    <w:p>
      <w:pPr>
        <w:spacing w:after="400"/>
      </w:pPr>
      <w:r>
        <w:rPr>
          <w:rFonts w:ascii="Arial" w:hAnsi="Arial"/>
          <w:i/>
          <w:color w:val="4A5568"/>
          <w:sz w:val="24"/>
        </w:rPr>
        <w:t>Context-Aware Repository Packer, Token Shredder, &amp; Compliance Shield</w:t>
      </w:r>
    </w:p>
    <w:p>
      <w:pPr>
        <w:pStyle w:val="Heading1"/>
        <w:keepNext/>
        <w:spacing w:before="0" w:after="120"/>
        <w:pBdr>
          <w:bottom w:val="single" w:sz="12" w:space="4" w:color="1B365D"/>
        </w:pBdr>
      </w:pPr>
      <w:r>
        <w:rPr>
          <w:rFonts w:ascii="Arial" w:hAnsi="Arial"/>
          <w:b/>
          <w:color w:val="1B365D"/>
          <w:sz w:val="36"/>
        </w:rPr>
        <w:t>1. System Identification &amp; Branding Strategy</w:t>
      </w:r>
    </w:p>
    <w:p>
      <w:r>
        <w:t>The project is formally designated as yoink (with companion CLI component yoink-cli and backend endpoint deployment yoink-api). The naming accurately captures the utility's workflow: to cleanly, instantly, and securely 'yoink' an entire software directory's logic, pack it into optimized markdown segments, and strip away sensitive identity fields before external transmission.</w:t>
      </w:r>
    </w:p>
    <w:p>
      <w:pPr>
        <w:pStyle w:val="Heading1"/>
        <w:keepNext/>
        <w:spacing w:before="280" w:after="120"/>
        <w:pBdr>
          <w:bottom w:val="single" w:sz="12" w:space="4" w:color="1B365D"/>
        </w:pBdr>
      </w:pPr>
      <w:r>
        <w:rPr>
          <w:rFonts w:ascii="Arial" w:hAnsi="Arial"/>
          <w:b/>
          <w:color w:val="1B365D"/>
          <w:sz w:val="36"/>
        </w:rPr>
        <w:t>2. Executive Summary &amp; Strategic Vision</w:t>
      </w:r>
    </w:p>
    <w:p>
      <w:r>
        <w:t>Modern engineering teams heavily leverage Large Language Models (LLMs) and autonomous coding ecosystems for debugging, refactoring, and architectural exploration. However, existing utilities that compile full source repositories into unstructured text files introduce significant challenges: they waste context-window tokens on structural boilerplate, expose operational secrets to public API platforms, and trigger enterprise non-compliance alerts by disclosing proprietary information.</w:t>
      </w:r>
    </w:p>
    <w:p>
      <w:r>
        <w:t>yoink introduces an API-first, zero-budget optimization blueprint designed to parse, sanitize, map, and compress repositories before they encounter public AI models. Whether executed on a local system via yoink-cli or run as a shared endpoint through yoink-api, the platform translates raw source directories into highly secure, structured markdown contexts primed for LLM comprehension.</w:t>
      </w:r>
    </w:p>
    <w:p>
      <w:pPr>
        <w:pStyle w:val="Heading1"/>
        <w:keepNext/>
        <w:spacing w:before="280" w:after="120"/>
        <w:pBdr>
          <w:bottom w:val="single" w:sz="12" w:space="4" w:color="1B365D"/>
        </w:pBdr>
      </w:pPr>
      <w:r>
        <w:rPr>
          <w:rFonts w:ascii="Arial" w:hAnsi="Arial"/>
          <w:b/>
          <w:color w:val="1B365D"/>
          <w:sz w:val="36"/>
        </w:rPr>
        <w:t>3. Strategic Viability in the AI Agent Era</w:t>
      </w:r>
    </w:p>
    <w:p>
      <w:r>
        <w:t>yoink serves as an essential middleware layer for four primary reasons:</w:t>
      </w:r>
    </w:p>
    <w:p>
      <w:pPr>
        <w:pStyle w:val="ListBullet"/>
      </w:pPr>
      <w:r>
        <w:rPr>
          <w:b/>
        </w:rPr>
        <w:t xml:space="preserve">Mitigating 'Garbage In, Garbage Out' in Agent Loops: </w:t>
      </w:r>
      <w:r>
        <w:t>AI agents operate blindly across directories, processing massive volumes of testing logs, system boilerplate, and repetitive docstrings. yoink strips out this text noise natively, reducing an agent's context clutter and forcing it to evaluate core logic patterns.</w:t>
      </w:r>
    </w:p>
    <w:p>
      <w:pPr>
        <w:pStyle w:val="ListBullet"/>
      </w:pPr>
      <w:r>
        <w:rPr>
          <w:b/>
        </w:rPr>
        <w:t xml:space="preserve">Bypassing the Enterprise Compliance Wall: </w:t>
      </w:r>
      <w:r>
        <w:t>Most corporations ban autonomous AI agents due to data exfiltration fears. yoink functions as a deterministic security sandbox. By scrubbing custom trademarks, internal network URLs, and legal entities before context generation, developers can safely feed structured code to external agents.</w:t>
      </w:r>
    </w:p>
    <w:p>
      <w:pPr>
        <w:pStyle w:val="ListBullet"/>
      </w:pPr>
      <w:r>
        <w:rPr>
          <w:b/>
        </w:rPr>
        <w:t xml:space="preserve">Compounding Token Cost Reductions: </w:t>
      </w:r>
      <w:r>
        <w:t>Agents process multi-file inputs recursively, causing token usage fees to multiply across iterative loops. yoink's Token Shredder cuts codebase size by up to 50% via comment and whitespace removal, leading to immediate cost reductions on downstream LLM API charges.</w:t>
      </w:r>
    </w:p>
    <w:p>
      <w:pPr>
        <w:pStyle w:val="ListBullet"/>
      </w:pPr>
      <w:r>
        <w:rPr>
          <w:b/>
        </w:rPr>
        <w:t xml:space="preserve">Deterministic Local Air-Gapping: </w:t>
      </w:r>
      <w:r>
        <w:t>Unlike AI prompts that rely on soft-guided behavioral guardrails to protect privacy, yoink implements absolute, programmatic protection at the code layer before any string data exits the workspace environment.</w:t>
      </w:r>
    </w:p>
    <w:p>
      <w:pPr>
        <w:pStyle w:val="Heading1"/>
        <w:keepNext/>
        <w:spacing w:before="280" w:after="120"/>
        <w:pBdr>
          <w:bottom w:val="single" w:sz="12" w:space="4" w:color="1B365D"/>
        </w:pBdr>
      </w:pPr>
      <w:r>
        <w:rPr>
          <w:rFonts w:ascii="Arial" w:hAnsi="Arial"/>
          <w:b/>
          <w:color w:val="1B365D"/>
          <w:sz w:val="36"/>
        </w:rPr>
        <w:t>4. Core Requirements Matrix</w:t>
      </w:r>
    </w:p>
    <w:tbl>
      <w:tblPr>
        <w:tblW w:type="auto" w:w="0"/>
        <w:jc w:val="center"/>
        <w:tblLook w:firstColumn="1" w:firstRow="1" w:lastColumn="0" w:lastRow="0" w:noHBand="0" w:noVBand="1" w:val="04A0"/>
      </w:tblPr>
      <w:tblGrid>
        <w:gridCol w:w="3120"/>
        <w:gridCol w:w="3120"/>
        <w:gridCol w:w="3120"/>
      </w:tblGrid>
      <w:tr>
        <w:trPr>
          <w:cantSplit/>
        </w:trPr>
        <w:tc>
          <w:tcPr>
            <w:tcW w:type="dxa" w:w="2160"/>
            <w:shd w:fill="1B365D"/>
            <w:vAlign w:val="center"/>
            <w:tcBorders>
              <w:top w:val="single" w:sz="4" w:space="0" w:color="E2E8F0"/>
              <w:bottom w:val="single" w:sz="4" w:space="0" w:color="E2E8F0"/>
              <w:left w:val="single" w:sz="4" w:space="0" w:color="E2E8F0"/>
              <w:right w:val="single" w:sz="4" w:space="0" w:color="E2E8F0"/>
            </w:tcBorders>
          </w:tcPr>
          <w:p>
            <w:r>
              <w:rPr>
                <w:b/>
                <w:color w:val="FFFFFF"/>
              </w:rPr>
              <w:t>Feature Layer</w:t>
            </w:r>
          </w:p>
        </w:tc>
        <w:tc>
          <w:tcPr>
            <w:tcW w:type="dxa" w:w="4608"/>
            <w:shd w:fill="1B365D"/>
            <w:vAlign w:val="center"/>
            <w:tcBorders>
              <w:top w:val="single" w:sz="4" w:space="0" w:color="E2E8F0"/>
              <w:bottom w:val="single" w:sz="4" w:space="0" w:color="E2E8F0"/>
              <w:left w:val="single" w:sz="4" w:space="0" w:color="E2E8F0"/>
              <w:right w:val="single" w:sz="4" w:space="0" w:color="E2E8F0"/>
            </w:tcBorders>
          </w:tcPr>
          <w:p>
            <w:r>
              <w:rPr>
                <w:b/>
                <w:color w:val="FFFFFF"/>
              </w:rPr>
              <w:t>Functional Requirement</w:t>
            </w:r>
          </w:p>
        </w:tc>
        <w:tc>
          <w:tcPr>
            <w:tcW w:type="dxa" w:w="2592"/>
            <w:shd w:fill="1B365D"/>
            <w:vAlign w:val="center"/>
            <w:tcBorders>
              <w:top w:val="single" w:sz="4" w:space="0" w:color="E2E8F0"/>
              <w:bottom w:val="single" w:sz="4" w:space="0" w:color="E2E8F0"/>
              <w:left w:val="single" w:sz="4" w:space="0" w:color="E2E8F0"/>
              <w:right w:val="single" w:sz="4" w:space="0" w:color="E2E8F0"/>
            </w:tcBorders>
          </w:tcPr>
          <w:p>
            <w:r>
              <w:rPr>
                <w:b/>
                <w:color w:val="FFFFFF"/>
              </w:rPr>
              <w:t>Developer / Business Value</w:t>
            </w:r>
          </w:p>
        </w:tc>
      </w:tr>
      <w:tr>
        <w:trPr>
          <w:cantSplit/>
        </w:trPr>
        <w:tc>
          <w:tcPr>
            <w:tcW w:type="dxa" w:w="2160"/>
            <w:vAlign w:val="center"/>
            <w:tcBorders>
              <w:top w:val="single" w:sz="4" w:space="0" w:color="E2E8F0"/>
              <w:bottom w:val="single" w:sz="4" w:space="0" w:color="E2E8F0"/>
              <w:left w:val="single" w:sz="4" w:space="0" w:color="E2E8F0"/>
              <w:right w:val="single" w:sz="4" w:space="0" w:color="E2E8F0"/>
            </w:tcBorders>
          </w:tcPr>
          <w:p>
            <w:r>
              <w:t>Token Shredder</w:t>
            </w:r>
          </w:p>
        </w:tc>
        <w:tc>
          <w:tcPr>
            <w:tcW w:type="dxa" w:w="4608"/>
            <w:vAlign w:val="center"/>
            <w:tcBorders>
              <w:top w:val="single" w:sz="4" w:space="0" w:color="E2E8F0"/>
              <w:bottom w:val="single" w:sz="4" w:space="0" w:color="E2E8F0"/>
              <w:left w:val="single" w:sz="4" w:space="0" w:color="E2E8F0"/>
              <w:right w:val="single" w:sz="4" w:space="0" w:color="E2E8F0"/>
            </w:tcBorders>
          </w:tcPr>
          <w:p>
            <w:r>
              <w:t>Strips multi-line docstrings, inline comments, system boilerplate, and whitespaces via custom config toggles (--no-comments).</w:t>
            </w:r>
          </w:p>
        </w:tc>
        <w:tc>
          <w:tcPr>
            <w:tcW w:type="dxa" w:w="2592"/>
            <w:vAlign w:val="center"/>
            <w:tcBorders>
              <w:top w:val="single" w:sz="4" w:space="0" w:color="E2E8F0"/>
              <w:bottom w:val="single" w:sz="4" w:space="0" w:color="E2E8F0"/>
              <w:left w:val="single" w:sz="4" w:space="0" w:color="E2E8F0"/>
              <w:right w:val="single" w:sz="4" w:space="0" w:color="E2E8F0"/>
            </w:tcBorders>
          </w:tcPr>
          <w:p>
            <w:r>
              <w:t>Saves up to 50% on external LLM token processing fees.</w:t>
            </w:r>
          </w:p>
        </w:tc>
      </w:tr>
      <w:tr>
        <w:trPr>
          <w:cantSplit/>
        </w:trPr>
        <w:tc>
          <w:tcPr>
            <w:tcW w:type="dxa" w:w="2160"/>
            <w:shd w:fill="F7FAFC"/>
            <w:vAlign w:val="center"/>
            <w:tcBorders>
              <w:top w:val="single" w:sz="4" w:space="0" w:color="E2E8F0"/>
              <w:bottom w:val="single" w:sz="4" w:space="0" w:color="E2E8F0"/>
              <w:left w:val="single" w:sz="4" w:space="0" w:color="E2E8F0"/>
              <w:right w:val="single" w:sz="4" w:space="0" w:color="E2E8F0"/>
            </w:tcBorders>
          </w:tcPr>
          <w:p>
            <w:r>
              <w:t>Compliance &amp; Secret Shield</w:t>
            </w:r>
          </w:p>
        </w:tc>
        <w:tc>
          <w:tcPr>
            <w:tcW w:type="dxa" w:w="4608"/>
            <w:shd w:fill="F7FAFC"/>
            <w:vAlign w:val="center"/>
            <w:tcBorders>
              <w:top w:val="single" w:sz="4" w:space="0" w:color="E2E8F0"/>
              <w:bottom w:val="single" w:sz="4" w:space="0" w:color="E2E8F0"/>
              <w:left w:val="single" w:sz="4" w:space="0" w:color="E2E8F0"/>
              <w:right w:val="single" w:sz="4" w:space="0" w:color="E2E8F0"/>
            </w:tcBorders>
          </w:tcPr>
          <w:p>
            <w:r>
              <w:t>Automates local regex scanning to block, mask, and stamp out active API credentials, AWS/SSH keys, and signatures.</w:t>
            </w:r>
          </w:p>
        </w:tc>
        <w:tc>
          <w:tcPr>
            <w:tcW w:type="dxa" w:w="2592"/>
            <w:shd w:fill="F7FAFC"/>
            <w:vAlign w:val="center"/>
            <w:tcBorders>
              <w:top w:val="single" w:sz="4" w:space="0" w:color="E2E8F0"/>
              <w:bottom w:val="single" w:sz="4" w:space="0" w:color="E2E8F0"/>
              <w:left w:val="single" w:sz="4" w:space="0" w:color="E2E8F0"/>
              <w:right w:val="single" w:sz="4" w:space="0" w:color="E2E8F0"/>
            </w:tcBorders>
          </w:tcPr>
          <w:p>
            <w:r>
              <w:t>Stops critical infrastructure credential leakage completely.</w:t>
            </w:r>
          </w:p>
        </w:tc>
      </w:tr>
      <w:tr>
        <w:trPr>
          <w:cantSplit/>
        </w:trPr>
        <w:tc>
          <w:tcPr>
            <w:tcW w:type="dxa" w:w="2160"/>
            <w:vAlign w:val="center"/>
            <w:tcBorders>
              <w:top w:val="single" w:sz="4" w:space="0" w:color="E2E8F0"/>
              <w:bottom w:val="single" w:sz="4" w:space="0" w:color="E2E8F0"/>
              <w:left w:val="single" w:sz="4" w:space="0" w:color="E2E8F0"/>
              <w:right w:val="single" w:sz="4" w:space="0" w:color="E2E8F0"/>
            </w:tcBorders>
          </w:tcPr>
          <w:p>
            <w:r>
              <w:t>Dependency Tree Visualizer</w:t>
            </w:r>
          </w:p>
        </w:tc>
        <w:tc>
          <w:tcPr>
            <w:tcW w:type="dxa" w:w="4608"/>
            <w:vAlign w:val="center"/>
            <w:tcBorders>
              <w:top w:val="single" w:sz="4" w:space="0" w:color="E2E8F0"/>
              <w:bottom w:val="single" w:sz="4" w:space="0" w:color="E2E8F0"/>
              <w:left w:val="single" w:sz="4" w:space="0" w:color="E2E8F0"/>
              <w:right w:val="single" w:sz="4" w:space="0" w:color="E2E8F0"/>
            </w:tcBorders>
          </w:tcPr>
          <w:p>
            <w:r>
              <w:t>Utilizes Abstract Syntax Trees (AST) to dynamically model and print architectural hierarchy and structural import flows at the top of markdown outputs.</w:t>
            </w:r>
          </w:p>
        </w:tc>
        <w:tc>
          <w:tcPr>
            <w:tcW w:type="dxa" w:w="2592"/>
            <w:vAlign w:val="center"/>
            <w:tcBorders>
              <w:top w:val="single" w:sz="4" w:space="0" w:color="E2E8F0"/>
              <w:bottom w:val="single" w:sz="4" w:space="0" w:color="E2E8F0"/>
              <w:left w:val="single" w:sz="4" w:space="0" w:color="E2E8F0"/>
              <w:right w:val="single" w:sz="4" w:space="0" w:color="E2E8F0"/>
            </w:tcBorders>
          </w:tcPr>
          <w:p>
            <w:r>
              <w:t>Improves LLM contextual debugging response accuracy tenfold.</w:t>
            </w:r>
          </w:p>
        </w:tc>
      </w:tr>
      <w:tr>
        <w:trPr>
          <w:cantSplit/>
        </w:trPr>
        <w:tc>
          <w:tcPr>
            <w:tcW w:type="dxa" w:w="2160"/>
            <w:shd w:fill="F7FAFC"/>
            <w:vAlign w:val="center"/>
            <w:tcBorders>
              <w:top w:val="single" w:sz="4" w:space="0" w:color="E2E8F0"/>
              <w:bottom w:val="single" w:sz="4" w:space="0" w:color="E2E8F0"/>
              <w:left w:val="single" w:sz="4" w:space="0" w:color="E2E8F0"/>
              <w:right w:val="single" w:sz="4" w:space="0" w:color="E2E8F0"/>
            </w:tcBorders>
          </w:tcPr>
          <w:p>
            <w:r>
              <w:t>IP &amp; License Stripper</w:t>
            </w:r>
          </w:p>
        </w:tc>
        <w:tc>
          <w:tcPr>
            <w:tcW w:type="dxa" w:w="4608"/>
            <w:shd w:fill="F7FAFC"/>
            <w:vAlign w:val="center"/>
            <w:tcBorders>
              <w:top w:val="single" w:sz="4" w:space="0" w:color="E2E8F0"/>
              <w:bottom w:val="single" w:sz="4" w:space="0" w:color="E2E8F0"/>
              <w:left w:val="single" w:sz="4" w:space="0" w:color="E2E8F0"/>
              <w:right w:val="single" w:sz="4" w:space="0" w:color="E2E8F0"/>
            </w:tcBorders>
          </w:tcPr>
          <w:p>
            <w:r>
              <w:t>Applies configurable string replacement matching algorithms to scrub corporate server URLs, internal trademarks, and proprietary logic IDs.</w:t>
            </w:r>
          </w:p>
        </w:tc>
        <w:tc>
          <w:tcPr>
            <w:tcW w:type="dxa" w:w="2592"/>
            <w:shd w:fill="F7FAFC"/>
            <w:vAlign w:val="center"/>
            <w:tcBorders>
              <w:top w:val="single" w:sz="4" w:space="0" w:color="E2E8F0"/>
              <w:bottom w:val="single" w:sz="4" w:space="0" w:color="E2E8F0"/>
              <w:left w:val="single" w:sz="4" w:space="0" w:color="E2E8F0"/>
              <w:right w:val="single" w:sz="4" w:space="0" w:color="E2E8F0"/>
            </w:tcBorders>
          </w:tcPr>
          <w:p>
            <w:r>
              <w:t>Enables completely compliant usage of company resources within public AI models.</w:t>
            </w:r>
          </w:p>
        </w:tc>
      </w:tr>
    </w:tbl>
    <w:p>
      <w:pPr>
        <w:pStyle w:val="Heading1"/>
        <w:keepNext/>
        <w:spacing w:before="280" w:after="120"/>
        <w:pBdr>
          <w:bottom w:val="single" w:sz="12" w:space="4" w:color="1B365D"/>
        </w:pBdr>
      </w:pPr>
      <w:r>
        <w:rPr>
          <w:rFonts w:ascii="Arial" w:hAnsi="Arial"/>
          <w:b/>
          <w:color w:val="1B365D"/>
          <w:sz w:val="36"/>
        </w:rPr>
        <w:t>5. Phased Implementation Blueprint</w:t>
      </w:r>
    </w:p>
    <w:p>
      <w:pPr>
        <w:pStyle w:val="Heading2"/>
        <w:keepNext/>
        <w:spacing w:before="280" w:after="120"/>
      </w:pPr>
      <w:r>
        <w:rPr>
          <w:rFonts w:ascii="Arial" w:hAnsi="Arial"/>
          <w:b/>
          <w:color w:val="4A5568"/>
          <w:sz w:val="28"/>
        </w:rPr>
        <w:t>Phase 1: Minimum Viable Product (MVP) - The Core Local Pipeline</w:t>
      </w:r>
    </w:p>
    <w:p>
      <w:pPr>
        <w:pStyle w:val="ListBullet"/>
      </w:pPr>
      <w:r>
        <w:rPr>
          <w:b/>
        </w:rPr>
        <w:t xml:space="preserve">Local Folder Scanner: </w:t>
      </w:r>
      <w:r>
        <w:t>Python utility that walks through directory paths, completely respecting existing .gitignore files to skip binary noise (node_modules, .git, virtual environments).</w:t>
      </w:r>
    </w:p>
    <w:p>
      <w:pPr>
        <w:pStyle w:val="ListBullet"/>
      </w:pPr>
      <w:r>
        <w:rPr>
          <w:b/>
        </w:rPr>
        <w:t xml:space="preserve">Basic Token Shredder: </w:t>
      </w:r>
      <w:r>
        <w:t>RegEx engine to strip single-line comments (#, //) and multi-line block syntax from Python and JavaScript standard distributions.</w:t>
      </w:r>
    </w:p>
    <w:p>
      <w:pPr>
        <w:pStyle w:val="ListBullet"/>
      </w:pPr>
      <w:r>
        <w:rPr>
          <w:b/>
        </w:rPr>
        <w:t xml:space="preserve">Secret Shield Integration: </w:t>
      </w:r>
      <w:r>
        <w:t>Pre-configured regex lists that actively scan target file blocks for clear text markers (e.g., matching 'AWS_SECRET', 'bearer tokens') and mask them natively with placeholder stamps.</w:t>
      </w:r>
    </w:p>
    <w:p>
      <w:pPr>
        <w:pStyle w:val="ListBullet"/>
      </w:pPr>
      <w:r>
        <w:rPr>
          <w:b/>
        </w:rPr>
        <w:t xml:space="preserve">Unified Markdown Packer: </w:t>
      </w:r>
      <w:r>
        <w:t>Aggregates all cleared files sequentially into a single target file using structured markdown headers (e.g., `## File: src/main.py`) optimized for prompt ingestion.</w:t>
      </w:r>
    </w:p>
    <w:p>
      <w:pPr>
        <w:pStyle w:val="Heading2"/>
        <w:keepNext/>
        <w:spacing w:before="280" w:after="120"/>
      </w:pPr>
      <w:r>
        <w:rPr>
          <w:rFonts w:ascii="Arial" w:hAnsi="Arial"/>
          <w:b/>
          <w:color w:val="4A5568"/>
          <w:sz w:val="28"/>
        </w:rPr>
        <w:t>Phase 2: Version 1.1 - Advanced Contextual Parsing &amp; Safety</w:t>
      </w:r>
    </w:p>
    <w:p>
      <w:pPr>
        <w:pStyle w:val="ListBullet"/>
      </w:pPr>
      <w:r>
        <w:rPr>
          <w:b/>
        </w:rPr>
        <w:t xml:space="preserve">Abstract Syntax Tree (AST) Visualizer: </w:t>
      </w:r>
      <w:r>
        <w:t>Implements standard library ast processing for Python code and module pattern tracking for JS to map out actual files' internal cross-references, outputting a top-level ASCII architectural map.</w:t>
      </w:r>
    </w:p>
    <w:p>
      <w:pPr>
        <w:pStyle w:val="ListBullet"/>
      </w:pPr>
      <w:r>
        <w:rPr>
          <w:b/>
        </w:rPr>
        <w:t xml:space="preserve">IP &amp; License Stripper Module: </w:t>
      </w:r>
      <w:r>
        <w:t>A standalone sanitation filter driven by an external `.yoinkconfig.json` dictionary. It parses and flags internal structural elements like private company endpoints (`*.internal.net`), legal entity names, or secure internal routing flags, substituting them with generic descriptors (`[PROPRIETARY_ENDPOINT_A]`).</w:t>
      </w:r>
    </w:p>
    <w:p>
      <w:pPr>
        <w:pStyle w:val="ListBullet"/>
      </w:pPr>
      <w:r>
        <w:rPr>
          <w:b/>
        </w:rPr>
        <w:t xml:space="preserve">CLI Configuration Overrides: </w:t>
      </w:r>
      <w:r>
        <w:t>Exposes advanced programmatic parameter flags to the terminal interface, including options such as `--no-comments`, `--mask-ip`, and `--exclude-tests`.</w:t>
      </w:r>
    </w:p>
    <w:p>
      <w:pPr>
        <w:pStyle w:val="Heading2"/>
        <w:keepNext/>
        <w:spacing w:before="280" w:after="120"/>
      </w:pPr>
      <w:r>
        <w:rPr>
          <w:rFonts w:ascii="Arial" w:hAnsi="Arial"/>
          <w:b/>
          <w:color w:val="4A5568"/>
          <w:sz w:val="28"/>
        </w:rPr>
        <w:t>Phase 3: Version 2.0 - Centralized API &amp; Ecosystem Expansion</w:t>
      </w:r>
    </w:p>
    <w:p>
      <w:pPr>
        <w:pStyle w:val="ListBullet"/>
      </w:pPr>
      <w:r>
        <w:rPr>
          <w:b/>
        </w:rPr>
        <w:t xml:space="preserve">FastAPI Core Service Infrastructure: </w:t>
      </w:r>
      <w:r>
        <w:t>Packages the core python parsing modules into lightweight RESTful endpoint routes (e.g., `/api/v1/sanitize`, `/api/v1/pack`). Accepts file payloads or securely structured configurations via JSON streams.</w:t>
      </w:r>
    </w:p>
    <w:p>
      <w:pPr>
        <w:pStyle w:val="ListBullet"/>
      </w:pPr>
      <w:r>
        <w:rPr>
          <w:b/>
        </w:rPr>
        <w:t xml:space="preserve">Interactive Client Web UI Dashboard: </w:t>
      </w:r>
      <w:r>
        <w:t>A reactive frontend layer (Streamlit or lightweight HTML/JS) interacting directly with the FastAPI backend engine. Allows developers to drag-and-drop local project folders, select transformation flags visually via simple checkboxes, and view side-by-side differences of scrubbed vs. original source text code.</w:t>
      </w:r>
    </w:p>
    <w:p>
      <w:pPr>
        <w:pStyle w:val="ListBullet"/>
      </w:pPr>
      <w:r>
        <w:rPr>
          <w:b/>
        </w:rPr>
        <w:t xml:space="preserve">Pre-Commit Pre-Push Hook Architecture: </w:t>
      </w:r>
      <w:r>
        <w:t>Provides explicit configuration instructions to tie the yoink framework directly into local `.git/hooks/pre-push` logic, systematically verifying that zero un-scrubbed configurations or raw compliance leaks ever exit the local workspace.</w:t>
      </w:r>
    </w:p>
    <w:p>
      <w:pPr>
        <w:pStyle w:val="Heading1"/>
        <w:keepNext/>
        <w:spacing w:before="280" w:after="120"/>
        <w:pBdr>
          <w:bottom w:val="single" w:sz="12" w:space="4" w:color="1B365D"/>
        </w:pBdr>
      </w:pPr>
      <w:r>
        <w:rPr>
          <w:rFonts w:ascii="Arial" w:hAnsi="Arial"/>
          <w:b/>
          <w:color w:val="1B365D"/>
          <w:sz w:val="36"/>
        </w:rPr>
        <w:t>6. Architecture &amp; Zero-Budget Deployment Strategy</w:t>
      </w:r>
    </w:p>
    <w:tbl>
      <w:tblPr>
        <w:tblW w:type="auto" w:w="0"/>
        <w:jc w:val="center"/>
        <w:tblLook w:firstColumn="1" w:firstRow="1" w:lastColumn="0" w:lastRow="0" w:noHBand="0" w:noVBand="1" w:val="04A0"/>
      </w:tblPr>
      <w:tblGrid>
        <w:gridCol w:w="3120"/>
        <w:gridCol w:w="3120"/>
        <w:gridCol w:w="3120"/>
      </w:tblGrid>
      <w:tr>
        <w:trPr>
          <w:cantSplit/>
        </w:trPr>
        <w:tc>
          <w:tcPr>
            <w:tcW w:type="dxa" w:w="2160"/>
            <w:shd w:fill="1B365D"/>
            <w:vAlign w:val="center"/>
            <w:tcBorders>
              <w:top w:val="single" w:sz="4" w:space="0" w:color="E2E8F0"/>
              <w:bottom w:val="single" w:sz="4" w:space="0" w:color="E2E8F0"/>
              <w:left w:val="single" w:sz="4" w:space="0" w:color="E2E8F0"/>
              <w:right w:val="single" w:sz="4" w:space="0" w:color="E2E8F0"/>
            </w:tcBorders>
          </w:tcPr>
          <w:p>
            <w:r>
              <w:rPr>
                <w:b/>
                <w:color w:val="FFFFFF"/>
              </w:rPr>
              <w:t>Component Layer</w:t>
            </w:r>
          </w:p>
        </w:tc>
        <w:tc>
          <w:tcPr>
            <w:tcW w:type="dxa" w:w="3600"/>
            <w:shd w:fill="1B365D"/>
            <w:vAlign w:val="center"/>
            <w:tcBorders>
              <w:top w:val="single" w:sz="4" w:space="0" w:color="E2E8F0"/>
              <w:bottom w:val="single" w:sz="4" w:space="0" w:color="E2E8F0"/>
              <w:left w:val="single" w:sz="4" w:space="0" w:color="E2E8F0"/>
              <w:right w:val="single" w:sz="4" w:space="0" w:color="E2E8F0"/>
            </w:tcBorders>
          </w:tcPr>
          <w:p>
            <w:r>
              <w:rPr>
                <w:b/>
                <w:color w:val="FFFFFF"/>
              </w:rPr>
              <w:t>Selected Stack / Framework</w:t>
            </w:r>
          </w:p>
        </w:tc>
        <w:tc>
          <w:tcPr>
            <w:tcW w:type="dxa" w:w="3600"/>
            <w:shd w:fill="1B365D"/>
            <w:vAlign w:val="center"/>
            <w:tcBorders>
              <w:top w:val="single" w:sz="4" w:space="0" w:color="E2E8F0"/>
              <w:bottom w:val="single" w:sz="4" w:space="0" w:color="E2E8F0"/>
              <w:left w:val="single" w:sz="4" w:space="0" w:color="E2E8F0"/>
              <w:right w:val="single" w:sz="4" w:space="0" w:color="E2E8F0"/>
            </w:tcBorders>
          </w:tcPr>
          <w:p>
            <w:r>
              <w:rPr>
                <w:b/>
                <w:color w:val="FFFFFF"/>
              </w:rPr>
              <w:t>Operational Rationale</w:t>
            </w:r>
          </w:p>
        </w:tc>
      </w:tr>
      <w:tr>
        <w:trPr>
          <w:cantSplit/>
        </w:trPr>
        <w:tc>
          <w:tcPr>
            <w:tcW w:type="dxa" w:w="2160"/>
            <w:vAlign w:val="center"/>
            <w:tcBorders>
              <w:top w:val="single" w:sz="4" w:space="0" w:color="E2E8F0"/>
              <w:bottom w:val="single" w:sz="4" w:space="0" w:color="E2E8F0"/>
              <w:left w:val="single" w:sz="4" w:space="0" w:color="E2E8F0"/>
              <w:right w:val="single" w:sz="4" w:space="0" w:color="E2E8F0"/>
            </w:tcBorders>
          </w:tcPr>
          <w:p>
            <w:r>
              <w:t>Core Execution</w:t>
            </w:r>
          </w:p>
        </w:tc>
        <w:tc>
          <w:tcPr>
            <w:tcW w:type="dxa" w:w="3600"/>
            <w:vAlign w:val="center"/>
            <w:tcBorders>
              <w:top w:val="single" w:sz="4" w:space="0" w:color="E2E8F0"/>
              <w:bottom w:val="single" w:sz="4" w:space="0" w:color="E2E8F0"/>
              <w:left w:val="single" w:sz="4" w:space="0" w:color="E2E8F0"/>
              <w:right w:val="single" w:sz="4" w:space="0" w:color="E2E8F0"/>
            </w:tcBorders>
          </w:tcPr>
          <w:p>
            <w:r>
              <w:t>Python 3.10+ (Standard Library / ast / re)</w:t>
            </w:r>
          </w:p>
        </w:tc>
        <w:tc>
          <w:tcPr>
            <w:tcW w:type="dxa" w:w="3600"/>
            <w:vAlign w:val="center"/>
            <w:tcBorders>
              <w:top w:val="single" w:sz="4" w:space="0" w:color="E2E8F0"/>
              <w:bottom w:val="single" w:sz="4" w:space="0" w:color="E2E8F0"/>
              <w:left w:val="single" w:sz="4" w:space="0" w:color="E2E8F0"/>
              <w:right w:val="single" w:sz="4" w:space="0" w:color="E2E8F0"/>
            </w:tcBorders>
          </w:tcPr>
          <w:p>
            <w:r>
              <w:t>Provides maximum cross-platform runtime reliability with absolute zero dependency overhead or execution footprint.</w:t>
            </w:r>
          </w:p>
        </w:tc>
      </w:tr>
      <w:tr>
        <w:trPr>
          <w:cantSplit/>
        </w:trPr>
        <w:tc>
          <w:tcPr>
            <w:tcW w:type="dxa" w:w="2160"/>
            <w:shd w:fill="F7FAFC"/>
            <w:vAlign w:val="center"/>
            <w:tcBorders>
              <w:top w:val="single" w:sz="4" w:space="0" w:color="E2E8F0"/>
              <w:bottom w:val="single" w:sz="4" w:space="0" w:color="E2E8F0"/>
              <w:left w:val="single" w:sz="4" w:space="0" w:color="E2E8F0"/>
              <w:right w:val="single" w:sz="4" w:space="0" w:color="E2E8F0"/>
            </w:tcBorders>
          </w:tcPr>
          <w:p>
            <w:r>
              <w:t>Backend Framework</w:t>
            </w:r>
          </w:p>
        </w:tc>
        <w:tc>
          <w:tcPr>
            <w:tcW w:type="dxa" w:w="3600"/>
            <w:shd w:fill="F7FAFC"/>
            <w:vAlign w:val="center"/>
            <w:tcBorders>
              <w:top w:val="single" w:sz="4" w:space="0" w:color="E2E8F0"/>
              <w:bottom w:val="single" w:sz="4" w:space="0" w:color="E2E8F0"/>
              <w:left w:val="single" w:sz="4" w:space="0" w:color="E2E8F0"/>
              <w:right w:val="single" w:sz="4" w:space="0" w:color="E2E8F0"/>
            </w:tcBorders>
          </w:tcPr>
          <w:p>
            <w:r>
              <w:t>FastAPI / Uvicorn</w:t>
            </w:r>
          </w:p>
        </w:tc>
        <w:tc>
          <w:tcPr>
            <w:tcW w:type="dxa" w:w="3600"/>
            <w:shd w:fill="F7FAFC"/>
            <w:vAlign w:val="center"/>
            <w:tcBorders>
              <w:top w:val="single" w:sz="4" w:space="0" w:color="E2E8F0"/>
              <w:bottom w:val="single" w:sz="4" w:space="0" w:color="E2E8F0"/>
              <w:left w:val="single" w:sz="4" w:space="0" w:color="E2E8F0"/>
              <w:right w:val="single" w:sz="4" w:space="0" w:color="E2E8F0"/>
            </w:tcBorders>
          </w:tcPr>
          <w:p>
            <w:r>
              <w:t>Asynchronous handling of concurrent request streams with automated Swagger/OpenAPI interactive schema rendering out of the box.</w:t>
            </w:r>
          </w:p>
        </w:tc>
      </w:tr>
      <w:tr>
        <w:trPr>
          <w:cantSplit/>
        </w:trPr>
        <w:tc>
          <w:tcPr>
            <w:tcW w:type="dxa" w:w="2160"/>
            <w:vAlign w:val="center"/>
            <w:tcBorders>
              <w:top w:val="single" w:sz="4" w:space="0" w:color="E2E8F0"/>
              <w:bottom w:val="single" w:sz="4" w:space="0" w:color="E2E8F0"/>
              <w:left w:val="single" w:sz="4" w:space="0" w:color="E2E8F0"/>
              <w:right w:val="single" w:sz="4" w:space="0" w:color="E2E8F0"/>
            </w:tcBorders>
          </w:tcPr>
          <w:p>
            <w:r>
              <w:t>Web Presentation UI</w:t>
            </w:r>
          </w:p>
        </w:tc>
        <w:tc>
          <w:tcPr>
            <w:tcW w:type="dxa" w:w="3600"/>
            <w:vAlign w:val="center"/>
            <w:tcBorders>
              <w:top w:val="single" w:sz="4" w:space="0" w:color="E2E8F0"/>
              <w:bottom w:val="single" w:sz="4" w:space="0" w:color="E2E8F0"/>
              <w:left w:val="single" w:sz="4" w:space="0" w:color="E2E8F0"/>
              <w:right w:val="single" w:sz="4" w:space="0" w:color="E2E8F0"/>
            </w:tcBorders>
          </w:tcPr>
          <w:p>
            <w:r>
              <w:t>Streamlit / Single-page TailWind HTML</w:t>
            </w:r>
          </w:p>
        </w:tc>
        <w:tc>
          <w:tcPr>
            <w:tcW w:type="dxa" w:w="3600"/>
            <w:vAlign w:val="center"/>
            <w:tcBorders>
              <w:top w:val="single" w:sz="4" w:space="0" w:color="E2E8F0"/>
              <w:bottom w:val="single" w:sz="4" w:space="0" w:color="E2E8F0"/>
              <w:left w:val="single" w:sz="4" w:space="0" w:color="E2E8F0"/>
              <w:right w:val="single" w:sz="4" w:space="0" w:color="E2E8F0"/>
            </w:tcBorders>
          </w:tcPr>
          <w:p>
            <w:r>
              <w:t>Enables programmatic generation of interactive user dashboards within minimal development cycles without heavy node runtime layers.</w:t>
            </w:r>
          </w:p>
        </w:tc>
      </w:tr>
      <w:tr>
        <w:trPr>
          <w:cantSplit/>
        </w:trPr>
        <w:tc>
          <w:tcPr>
            <w:tcW w:type="dxa" w:w="2160"/>
            <w:shd w:fill="F7FAFC"/>
            <w:vAlign w:val="center"/>
            <w:tcBorders>
              <w:top w:val="single" w:sz="4" w:space="0" w:color="E2E8F0"/>
              <w:bottom w:val="single" w:sz="4" w:space="0" w:color="E2E8F0"/>
              <w:left w:val="single" w:sz="4" w:space="0" w:color="E2E8F0"/>
              <w:right w:val="single" w:sz="4" w:space="0" w:color="E2E8F0"/>
            </w:tcBorders>
          </w:tcPr>
          <w:p>
            <w:r>
              <w:t>Hosting &amp; Compute</w:t>
            </w:r>
          </w:p>
        </w:tc>
        <w:tc>
          <w:tcPr>
            <w:tcW w:type="dxa" w:w="3600"/>
            <w:shd w:fill="F7FAFC"/>
            <w:vAlign w:val="center"/>
            <w:tcBorders>
              <w:top w:val="single" w:sz="4" w:space="0" w:color="E2E8F0"/>
              <w:bottom w:val="single" w:sz="4" w:space="0" w:color="E2E8F0"/>
              <w:left w:val="single" w:sz="4" w:space="0" w:color="E2E8F0"/>
              <w:right w:val="single" w:sz="4" w:space="0" w:color="E2E8F0"/>
            </w:tcBorders>
          </w:tcPr>
          <w:p>
            <w:r>
              <w:t>Render / Hugging Face Spaces (Free Tiers)</w:t>
            </w:r>
          </w:p>
        </w:tc>
        <w:tc>
          <w:tcPr>
            <w:tcW w:type="dxa" w:w="3600"/>
            <w:shd w:fill="F7FAFC"/>
            <w:vAlign w:val="center"/>
            <w:tcBorders>
              <w:top w:val="single" w:sz="4" w:space="0" w:color="E2E8F0"/>
              <w:bottom w:val="single" w:sz="4" w:space="0" w:color="E2E8F0"/>
              <w:left w:val="single" w:sz="4" w:space="0" w:color="E2E8F0"/>
              <w:right w:val="single" w:sz="4" w:space="0" w:color="E2E8F0"/>
            </w:tcBorders>
          </w:tcPr>
          <w:p>
            <w:r>
              <w:t>Provides robust containerized background hosting with continuous GitHub deployment triggers, requiring zero infrastructure upkeep costs.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