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黑体"/>
          <w:b/>
          <w:color w:val="000000"/>
          <w:sz w:val="40"/>
        </w:rPr>
        <w:t>基于 Wikidata 电影知识图谱的问答系统与答案生成实验报告</w:t>
      </w:r>
    </w:p>
    <w:p>
      <w:pPr>
        <w:jc w:val="center"/>
      </w:pPr>
      <w:r>
        <w:rPr>
          <w:rFonts w:ascii="Times New Roman" w:hAnsi="Times New Roman" w:eastAsia="黑体"/>
          <w:b w:val="0"/>
          <w:color w:val="000000"/>
          <w:sz w:val="24"/>
        </w:rPr>
        <w:t>人工智能 I 课程实验</w:t>
      </w:r>
    </w:p>
    <w:p>
      <w:pPr>
        <w:spacing w:line="324" w:lineRule="auto" w:after="12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本报告记录电影单跳知识图谱问答实验的实际数据构建、模型实现、参数调整、统一评测和结果分析。实验比较可解释的管道式方法与融合 TransE 结构向量的 FLAN-T5 生成方法，并通过学习率对照和嵌入消融判断主要性能变化。</w:t>
      </w:r>
    </w:p>
    <w:p>
      <w:pPr>
        <w:pStyle w:val="Heading1"/>
      </w:pPr>
      <w:r>
        <w:t>二 实验基本信息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/>
        </w:trPr>
        <w:tc>
          <w:tcPr>
            <w:tcW w:type="dxa" w:w="2268"/>
            <w:shd w:fill="1F4E7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236"/>
            <w:shd w:fill="1F4E7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实验名称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基于知识图谱的问答系统与答案生成</w:t>
            </w:r>
          </w:p>
        </w:tc>
      </w:tr>
      <w:tr>
        <w:tc>
          <w:tcPr>
            <w:tcW w:type="dxa" w:w="2268"/>
            <w:vAlign w:val="center"/>
            <w:shd w:fill="F3F7FA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姓名</w:t>
            </w:r>
          </w:p>
        </w:tc>
        <w:tc>
          <w:tcPr>
            <w:tcW w:type="dxa" w:w="6236"/>
            <w:vAlign w:val="center"/>
            <w:shd w:fill="F3F7FA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待填写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学号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待填写</w:t>
            </w:r>
          </w:p>
        </w:tc>
      </w:tr>
      <w:tr>
        <w:tc>
          <w:tcPr>
            <w:tcW w:type="dxa" w:w="2268"/>
            <w:vAlign w:val="center"/>
            <w:shd w:fill="F3F7FA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班级</w:t>
            </w:r>
          </w:p>
        </w:tc>
        <w:tc>
          <w:tcPr>
            <w:tcW w:type="dxa" w:w="6236"/>
            <w:vAlign w:val="center"/>
            <w:shd w:fill="F3F7FA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待填写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实验完成日期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2026年9月12日</w:t>
            </w:r>
          </w:p>
        </w:tc>
      </w:tr>
    </w:tbl>
    <w:p>
      <w:pPr>
        <w:spacing w:after="40"/>
      </w:pPr>
    </w:p>
    <w:p>
      <w:pPr>
        <w:pStyle w:val="Heading1"/>
      </w:pPr>
      <w:r>
        <w:t>三 实验环境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/>
        </w:trPr>
        <w:tc>
          <w:tcPr>
            <w:tcW w:type="dxa" w:w="2268"/>
            <w:shd w:fill="1F4E7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236"/>
            <w:shd w:fill="1F4E7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实际配置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操作系统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Windows-10-10.0.26200-SP0</w:t>
            </w:r>
          </w:p>
        </w:tc>
      </w:tr>
      <w:tr>
        <w:tc>
          <w:tcPr>
            <w:tcW w:type="dxa" w:w="2268"/>
            <w:vAlign w:val="center"/>
            <w:shd w:fill="F3F7FA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Python 路径</w:t>
            </w:r>
          </w:p>
        </w:tc>
        <w:tc>
          <w:tcPr>
            <w:tcW w:type="dxa" w:w="6236"/>
            <w:vAlign w:val="center"/>
            <w:shd w:fill="F3F7FA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H:\AI1experiment\.venv\Scripts\python.exe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Python 版本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3.11.7</w:t>
            </w:r>
          </w:p>
        </w:tc>
      </w:tr>
      <w:tr>
        <w:tc>
          <w:tcPr>
            <w:tcW w:type="dxa" w:w="2268"/>
            <w:vAlign w:val="center"/>
            <w:shd w:fill="F3F7FA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CPU</w:t>
            </w:r>
          </w:p>
        </w:tc>
        <w:tc>
          <w:tcPr>
            <w:tcW w:type="dxa" w:w="6236"/>
            <w:vAlign w:val="center"/>
            <w:shd w:fill="F3F7FA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12th Gen Intel(R) Core(TM) i7-12700H，20 个逻辑处理器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内存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15.8 GB</w:t>
            </w:r>
          </w:p>
        </w:tc>
      </w:tr>
      <w:tr>
        <w:tc>
          <w:tcPr>
            <w:tcW w:type="dxa" w:w="2268"/>
            <w:vAlign w:val="center"/>
            <w:shd w:fill="F3F7FA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GPU</w:t>
            </w:r>
          </w:p>
        </w:tc>
        <w:tc>
          <w:tcPr>
            <w:tcW w:type="dxa" w:w="6236"/>
            <w:vAlign w:val="center"/>
            <w:shd w:fill="F3F7FA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NVIDIA GeForce RTX 3070 Ti Laptop GPU, 8192 MiB, 610.88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CUDA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可用，PyTorch CUDA 12.4</w:t>
            </w:r>
          </w:p>
        </w:tc>
      </w:tr>
      <w:tr>
        <w:tc>
          <w:tcPr>
            <w:tcW w:type="dxa" w:w="2268"/>
            <w:vAlign w:val="center"/>
            <w:shd w:fill="F3F7FA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主要依赖</w:t>
            </w:r>
          </w:p>
        </w:tc>
        <w:tc>
          <w:tcPr>
            <w:tcW w:type="dxa" w:w="6236"/>
            <w:vAlign w:val="center"/>
            <w:shd w:fill="F3F7FA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torch 2.6.0+cu124, transformers 4.48.3, pykeen 1.11.1, scikit-learn 1.6.1, sacrebleu 2.5.1, rouge-score 0.1.2, numpy 1.26.4, pandas 2.2.3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viron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000000"/>
          <w:sz w:val="19"/>
        </w:rPr>
        <w:t>图 1 终端环境配置记录</w:t>
      </w:r>
    </w:p>
    <w:p>
      <w:pPr>
        <w:pStyle w:val="Heading1"/>
      </w:pPr>
      <w:r>
        <w:t>四 数据集与实验设置</w:t>
      </w:r>
    </w:p>
    <w:p>
      <w:pPr>
        <w:spacing w:line="324" w:lineRule="auto" w:after="12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数据来自 Wikidata 的电影子图，使用导演 P57、类型 P136、制作国家 P495 和原始语言 P364 四类关系。冻结快照的 SHA-256 为 eb85268c3359238b7eeed2438e3693c5e42ab2de09ce4a32d4137a5196613739，包含 1000 部电影、2285 个实体、6194 条三元组和 12267 条问答。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/>
        </w:trPr>
        <w:tc>
          <w:tcPr>
            <w:tcW w:type="dxa" w:w="2835"/>
            <w:shd w:fill="1F4E7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数据项</w:t>
            </w:r>
          </w:p>
        </w:tc>
        <w:tc>
          <w:tcPr>
            <w:tcW w:type="dxa" w:w="5669"/>
            <w:shd w:fill="1F4E7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数量或设置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训练集问答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8587</w:t>
            </w:r>
          </w:p>
        </w:tc>
      </w:tr>
      <w:tr>
        <w:tc>
          <w:tcPr>
            <w:tcW w:type="dxa" w:w="2835"/>
            <w:vAlign w:val="center"/>
            <w:shd w:fill="F3F7FA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验证集问答</w:t>
            </w:r>
          </w:p>
        </w:tc>
        <w:tc>
          <w:tcPr>
            <w:tcW w:type="dxa" w:w="5669"/>
            <w:vAlign w:val="center"/>
            <w:shd w:fill="F3F7FA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1825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测试集问答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1855</w:t>
            </w:r>
          </w:p>
        </w:tc>
      </w:tr>
      <w:tr>
        <w:tc>
          <w:tcPr>
            <w:tcW w:type="dxa" w:w="2835"/>
            <w:vAlign w:val="center"/>
            <w:shd w:fill="F3F7FA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电影实体划分</w:t>
            </w:r>
          </w:p>
        </w:tc>
        <w:tc>
          <w:tcPr>
            <w:tcW w:type="dxa" w:w="5669"/>
            <w:vAlign w:val="center"/>
            <w:shd w:fill="F3F7FA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700 / 150 / 150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随机种子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42</w:t>
            </w:r>
          </w:p>
        </w:tc>
      </w:tr>
      <w:tr>
        <w:tc>
          <w:tcPr>
            <w:tcW w:type="dxa" w:w="2835"/>
            <w:vAlign w:val="center"/>
            <w:shd w:fill="F3F7FA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划分原则</w:t>
            </w:r>
          </w:p>
        </w:tc>
        <w:tc>
          <w:tcPr>
            <w:tcW w:type="dxa" w:w="5669"/>
            <w:vAlign w:val="center"/>
            <w:shd w:fill="F3F7FA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按电影 QID 分组，同一电影的原问题和改写位于同一集合</w:t>
            </w:r>
          </w:p>
        </w:tc>
      </w:tr>
    </w:tbl>
    <w:p>
      <w:pPr>
        <w:spacing w:after="40"/>
      </w:pPr>
    </w:p>
    <w:p>
      <w:pPr>
        <w:spacing w:line="324" w:lineRule="auto" w:after="12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A0 采用电影标题与别名词典完成实体链接，使用词和字符 TF-IDF 特征及逻辑回归判断关系，再查询冻结子图并通过模板生成完整句。B0 至 B3 采用 FLAN-T5-small，以问题和相关三元组文本为输入，并将冻结的 TransE 头实体、关系和尾实体向量投影为结构前缀。C0 保留相同三元组文本，但移除结构向量。</w:t>
      </w:r>
    </w:p>
    <w:p>
      <w:pPr>
        <w:pStyle w:val="Heading1"/>
      </w:pPr>
      <w:r>
        <w:t>五 实验结果</w:t>
      </w:r>
    </w:p>
    <w:p>
      <w:pPr>
        <w:pStyle w:val="Heading2"/>
      </w:pPr>
      <w:r>
        <w:t>5.1 基础实验设置与运行记录</w:t>
      </w:r>
    </w:p>
    <w:p>
      <w:pPr>
        <w:spacing w:line="324" w:lineRule="auto" w:after="12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正式实验固定使用上述数据划分。A0 的关系置信度阈值在验证集上选择；所有神经模型均从同一 FLAN-T5-small 初始权重独立训练，使用随机种子 42，测试集只在验证选模完成后评估一次。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/>
        </w:trPr>
        <w:tc>
          <w:tcPr>
            <w:tcW w:type="dxa" w:w="2268"/>
            <w:shd w:fill="1F4E7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6236"/>
            <w:shd w:fill="1F4E7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主要参数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A0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TF-IDF + 逻辑回归；验证选择阈值 0.30</w:t>
            </w:r>
          </w:p>
        </w:tc>
      </w:tr>
      <w:tr>
        <w:tc>
          <w:tcPr>
            <w:tcW w:type="dxa" w:w="2268"/>
            <w:vAlign w:val="center"/>
            <w:shd w:fill="F3F7FA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TransE</w:t>
            </w:r>
          </w:p>
        </w:tc>
        <w:tc>
          <w:tcPr>
            <w:tcW w:type="dxa" w:w="6236"/>
            <w:vAlign w:val="center"/>
            <w:shd w:fill="F3F7FA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维度 100；学习率 0.001；batch size 256；100 epoch；每个正例 5 个负样本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B0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学习率 1e-04；5 epoch；batch size 16；有效 batch size 16；BF16 自动混合精度</w:t>
            </w:r>
          </w:p>
        </w:tc>
      </w:tr>
      <w:tr>
        <w:tc>
          <w:tcPr>
            <w:tcW w:type="dxa" w:w="2268"/>
            <w:vAlign w:val="center"/>
            <w:shd w:fill="F3F7FA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选模指标</w:t>
            </w:r>
          </w:p>
        </w:tc>
        <w:tc>
          <w:tcPr>
            <w:tcW w:type="dxa" w:w="6236"/>
            <w:vAlign w:val="center"/>
            <w:shd w:fill="F3F7FA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验证集答案实体 Macro-F1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b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000000"/>
          <w:sz w:val="19"/>
        </w:rPr>
        <w:t>图 2 B0 模型训练过程记录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u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000000"/>
          <w:sz w:val="19"/>
        </w:rPr>
        <w:t>图 3 测试评估与参数实验运行记录</w:t>
      </w:r>
    </w:p>
    <w:p>
      <w:pPr>
        <w:pStyle w:val="Heading2"/>
      </w:pPr>
      <w:r>
        <w:t>5.2 基础实验结果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4"/>
        <w:gridCol w:w="1204"/>
        <w:gridCol w:w="1204"/>
        <w:gridCol w:w="1204"/>
        <w:gridCol w:w="1204"/>
        <w:gridCol w:w="1204"/>
        <w:gridCol w:w="1204"/>
        <w:gridCol w:w="1204"/>
      </w:tblGrid>
      <w:tr>
        <w:trPr>
          <w:tblHeader/>
        </w:trPr>
        <w:tc>
          <w:tcPr>
            <w:tcW w:type="dxa" w:w="794"/>
            <w:shd w:fill="1F4E7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实验</w:t>
            </w:r>
          </w:p>
        </w:tc>
        <w:tc>
          <w:tcPr>
            <w:tcW w:type="dxa" w:w="1134"/>
            <w:shd w:fill="1F4E7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实体准确率</w:t>
            </w:r>
          </w:p>
        </w:tc>
        <w:tc>
          <w:tcPr>
            <w:tcW w:type="dxa" w:w="1020"/>
            <w:shd w:fill="1F4E7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实体 F1</w:t>
            </w:r>
          </w:p>
        </w:tc>
        <w:tc>
          <w:tcPr>
            <w:tcW w:type="dxa" w:w="907"/>
            <w:shd w:fill="1F4E7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BLEU</w:t>
            </w:r>
          </w:p>
        </w:tc>
        <w:tc>
          <w:tcPr>
            <w:tcW w:type="dxa" w:w="1020"/>
            <w:shd w:fill="1F4E7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ROUGE-L</w:t>
            </w:r>
          </w:p>
        </w:tc>
        <w:tc>
          <w:tcPr>
            <w:tcW w:type="dxa" w:w="1247"/>
            <w:shd w:fill="1F4E7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平均延迟 ms</w:t>
            </w:r>
          </w:p>
        </w:tc>
        <w:tc>
          <w:tcPr>
            <w:tcW w:type="dxa" w:w="1247"/>
            <w:shd w:fill="1F4E7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P95 延迟 ms</w:t>
            </w:r>
          </w:p>
        </w:tc>
        <w:tc>
          <w:tcPr>
            <w:tcW w:type="dxa" w:w="1020"/>
            <w:shd w:fill="1F4E7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训练 min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98.71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98.71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98.31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98.82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1.11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1.43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-</w:t>
            </w:r>
          </w:p>
        </w:tc>
      </w:tr>
      <w:tr>
        <w:tc>
          <w:tcPr>
            <w:tcW w:type="dxa" w:w="794"/>
            <w:vAlign w:val="center"/>
            <w:shd w:fill="F3F7FA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B0</w:t>
            </w:r>
          </w:p>
        </w:tc>
        <w:tc>
          <w:tcPr>
            <w:tcW w:type="dxa" w:w="1134"/>
            <w:vAlign w:val="center"/>
            <w:shd w:fill="F3F7FA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97.74</w:t>
            </w:r>
          </w:p>
        </w:tc>
        <w:tc>
          <w:tcPr>
            <w:tcW w:type="dxa" w:w="1020"/>
            <w:vAlign w:val="center"/>
            <w:shd w:fill="F3F7FA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97.82</w:t>
            </w:r>
          </w:p>
        </w:tc>
        <w:tc>
          <w:tcPr>
            <w:tcW w:type="dxa" w:w="907"/>
            <w:vAlign w:val="center"/>
            <w:shd w:fill="F3F7FA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99.05</w:t>
            </w:r>
          </w:p>
        </w:tc>
        <w:tc>
          <w:tcPr>
            <w:tcW w:type="dxa" w:w="1020"/>
            <w:vAlign w:val="center"/>
            <w:shd w:fill="F3F7FA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99.41</w:t>
            </w:r>
          </w:p>
        </w:tc>
        <w:tc>
          <w:tcPr>
            <w:tcW w:type="dxa" w:w="1247"/>
            <w:vAlign w:val="center"/>
            <w:shd w:fill="F3F7FA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15.30</w:t>
            </w:r>
          </w:p>
        </w:tc>
        <w:tc>
          <w:tcPr>
            <w:tcW w:type="dxa" w:w="1247"/>
            <w:vAlign w:val="center"/>
            <w:shd w:fill="F3F7FA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20.40</w:t>
            </w:r>
          </w:p>
        </w:tc>
        <w:tc>
          <w:tcPr>
            <w:tcW w:type="dxa" w:w="1020"/>
            <w:vAlign w:val="center"/>
            <w:shd w:fill="F3F7FA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8.7</w:t>
            </w:r>
          </w:p>
        </w:tc>
      </w:tr>
    </w:tbl>
    <w:p>
      <w:pPr>
        <w:spacing w:after="40"/>
      </w:pPr>
    </w:p>
    <w:p>
      <w:pPr>
        <w:spacing w:line="324" w:lineRule="auto" w:after="12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A0 的实体集合准确率为 98.71%，Macro-F1 为 98.71%，平均延迟为 1.11 ms。B0 的实体集合准确率为 97.74%，Macro-F1 为 97.82%，BLEU 为 99.05，ROUGE-L 为 99.41。B0 文本重叠指标较高，但多答案问题存在漏答，使集合完全匹配指标低于实体 F1。</w:t>
      </w:r>
    </w:p>
    <w:p>
      <w:pPr>
        <w:pStyle w:val="Heading2"/>
      </w:pPr>
      <w:r>
        <w:t>5.3 参数修改与重复实验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5"/>
        <w:gridCol w:w="1605"/>
        <w:gridCol w:w="1605"/>
        <w:gridCol w:w="1605"/>
        <w:gridCol w:w="1605"/>
        <w:gridCol w:w="1605"/>
      </w:tblGrid>
      <w:tr>
        <w:trPr>
          <w:tblHeader/>
        </w:trPr>
        <w:tc>
          <w:tcPr>
            <w:tcW w:type="dxa" w:w="1134"/>
            <w:shd w:fill="1F4E7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实验</w:t>
            </w:r>
          </w:p>
        </w:tc>
        <w:tc>
          <w:tcPr>
            <w:tcW w:type="dxa" w:w="1417"/>
            <w:shd w:fill="1F4E7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学习率</w:t>
            </w:r>
          </w:p>
        </w:tc>
        <w:tc>
          <w:tcPr>
            <w:tcW w:type="dxa" w:w="1417"/>
            <w:shd w:fill="1F4E7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TransE</w:t>
            </w:r>
          </w:p>
        </w:tc>
        <w:tc>
          <w:tcPr>
            <w:tcW w:type="dxa" w:w="1417"/>
            <w:shd w:fill="1F4E7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最佳 epoch</w:t>
            </w:r>
          </w:p>
        </w:tc>
        <w:tc>
          <w:tcPr>
            <w:tcW w:type="dxa" w:w="1417"/>
            <w:shd w:fill="1F4E7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验证 F1</w:t>
            </w:r>
          </w:p>
        </w:tc>
        <w:tc>
          <w:tcPr>
            <w:tcW w:type="dxa" w:w="1701"/>
            <w:shd w:fill="1F4E7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训练 min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1e-04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使用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96.88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8.7</w:t>
            </w:r>
          </w:p>
        </w:tc>
      </w:tr>
      <w:tr>
        <w:tc>
          <w:tcPr>
            <w:tcW w:type="dxa" w:w="1134"/>
            <w:vAlign w:val="center"/>
            <w:shd w:fill="F3F7FA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B1</w:t>
            </w:r>
          </w:p>
        </w:tc>
        <w:tc>
          <w:tcPr>
            <w:tcW w:type="dxa" w:w="1417"/>
            <w:vAlign w:val="center"/>
            <w:shd w:fill="F3F7FA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3e-05</w:t>
            </w:r>
          </w:p>
        </w:tc>
        <w:tc>
          <w:tcPr>
            <w:tcW w:type="dxa" w:w="1417"/>
            <w:vAlign w:val="center"/>
            <w:shd w:fill="F3F7FA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使用</w:t>
            </w:r>
          </w:p>
        </w:tc>
        <w:tc>
          <w:tcPr>
            <w:tcW w:type="dxa" w:w="1417"/>
            <w:vAlign w:val="center"/>
            <w:shd w:fill="F3F7FA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1417"/>
            <w:vAlign w:val="center"/>
            <w:shd w:fill="F3F7FA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96.73</w:t>
            </w:r>
          </w:p>
        </w:tc>
        <w:tc>
          <w:tcPr>
            <w:tcW w:type="dxa" w:w="1701"/>
            <w:vAlign w:val="center"/>
            <w:shd w:fill="F3F7FA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8.0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3e-04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使用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97.05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8.5</w:t>
            </w:r>
          </w:p>
        </w:tc>
      </w:tr>
      <w:tr>
        <w:tc>
          <w:tcPr>
            <w:tcW w:type="dxa" w:w="1134"/>
            <w:vAlign w:val="center"/>
            <w:shd w:fill="F3F7FA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B3</w:t>
            </w:r>
          </w:p>
        </w:tc>
        <w:tc>
          <w:tcPr>
            <w:tcW w:type="dxa" w:w="1417"/>
            <w:vAlign w:val="center"/>
            <w:shd w:fill="F3F7FA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1e-03</w:t>
            </w:r>
          </w:p>
        </w:tc>
        <w:tc>
          <w:tcPr>
            <w:tcW w:type="dxa" w:w="1417"/>
            <w:vAlign w:val="center"/>
            <w:shd w:fill="F3F7FA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使用</w:t>
            </w:r>
          </w:p>
        </w:tc>
        <w:tc>
          <w:tcPr>
            <w:tcW w:type="dxa" w:w="1417"/>
            <w:vAlign w:val="center"/>
            <w:shd w:fill="F3F7FA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417"/>
            <w:vAlign w:val="center"/>
            <w:shd w:fill="F3F7FA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96.92</w:t>
            </w:r>
          </w:p>
        </w:tc>
        <w:tc>
          <w:tcPr>
            <w:tcW w:type="dxa" w:w="1701"/>
            <w:vAlign w:val="center"/>
            <w:shd w:fill="F3F7FA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8.5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1e-04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移除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95.54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8.3</w:t>
            </w:r>
          </w:p>
        </w:tc>
      </w:tr>
    </w:tbl>
    <w:p>
      <w:pPr>
        <w:spacing w:after="40"/>
      </w:pPr>
    </w:p>
    <w:p>
      <w:pPr>
        <w:spacing w:line="324" w:lineRule="auto" w:after="12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B0 至 B3 仅改变学习率，数据、训练轮数、随机种子、模型初始权重和其他超参数保持一致。C0 与 B0 使用相同学习率和三元组文本，仅移除 TransE 结构前缀。</w:t>
      </w:r>
    </w:p>
    <w:p>
      <w:pPr>
        <w:pStyle w:val="Heading2"/>
      </w:pPr>
      <w:r>
        <w:t>5.4 基础实验与参数修改实验的结果对比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4"/>
        <w:gridCol w:w="1204"/>
        <w:gridCol w:w="1204"/>
        <w:gridCol w:w="1204"/>
        <w:gridCol w:w="1204"/>
        <w:gridCol w:w="1204"/>
        <w:gridCol w:w="1204"/>
        <w:gridCol w:w="1204"/>
      </w:tblGrid>
      <w:tr>
        <w:trPr>
          <w:tblHeader/>
        </w:trPr>
        <w:tc>
          <w:tcPr>
            <w:tcW w:type="dxa" w:w="794"/>
            <w:shd w:fill="1F4E7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实验</w:t>
            </w:r>
          </w:p>
        </w:tc>
        <w:tc>
          <w:tcPr>
            <w:tcW w:type="dxa" w:w="1134"/>
            <w:shd w:fill="1F4E7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实体准确率</w:t>
            </w:r>
          </w:p>
        </w:tc>
        <w:tc>
          <w:tcPr>
            <w:tcW w:type="dxa" w:w="1020"/>
            <w:shd w:fill="1F4E7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实体 F1</w:t>
            </w:r>
          </w:p>
        </w:tc>
        <w:tc>
          <w:tcPr>
            <w:tcW w:type="dxa" w:w="907"/>
            <w:shd w:fill="1F4E7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BLEU</w:t>
            </w:r>
          </w:p>
        </w:tc>
        <w:tc>
          <w:tcPr>
            <w:tcW w:type="dxa" w:w="1020"/>
            <w:shd w:fill="1F4E7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ROUGE-L</w:t>
            </w:r>
          </w:p>
        </w:tc>
        <w:tc>
          <w:tcPr>
            <w:tcW w:type="dxa" w:w="1247"/>
            <w:shd w:fill="1F4E7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平均延迟 ms</w:t>
            </w:r>
          </w:p>
        </w:tc>
        <w:tc>
          <w:tcPr>
            <w:tcW w:type="dxa" w:w="1247"/>
            <w:shd w:fill="1F4E7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P95 延迟 ms</w:t>
            </w:r>
          </w:p>
        </w:tc>
        <w:tc>
          <w:tcPr>
            <w:tcW w:type="dxa" w:w="1020"/>
            <w:shd w:fill="1F4E7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训练 min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97.74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97.82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99.05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99.41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15.30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20.40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8.7</w:t>
            </w:r>
          </w:p>
        </w:tc>
      </w:tr>
      <w:tr>
        <w:tc>
          <w:tcPr>
            <w:tcW w:type="dxa" w:w="794"/>
            <w:vAlign w:val="center"/>
            <w:shd w:fill="F3F7FA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B1</w:t>
            </w:r>
          </w:p>
        </w:tc>
        <w:tc>
          <w:tcPr>
            <w:tcW w:type="dxa" w:w="1134"/>
            <w:vAlign w:val="center"/>
            <w:shd w:fill="F3F7FA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97.57</w:t>
            </w:r>
          </w:p>
        </w:tc>
        <w:tc>
          <w:tcPr>
            <w:tcW w:type="dxa" w:w="1020"/>
            <w:vAlign w:val="center"/>
            <w:shd w:fill="F3F7FA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97.76</w:t>
            </w:r>
          </w:p>
        </w:tc>
        <w:tc>
          <w:tcPr>
            <w:tcW w:type="dxa" w:w="907"/>
            <w:vAlign w:val="center"/>
            <w:shd w:fill="F3F7FA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98.59</w:t>
            </w:r>
          </w:p>
        </w:tc>
        <w:tc>
          <w:tcPr>
            <w:tcW w:type="dxa" w:w="1020"/>
            <w:vAlign w:val="center"/>
            <w:shd w:fill="F3F7FA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99.01</w:t>
            </w:r>
          </w:p>
        </w:tc>
        <w:tc>
          <w:tcPr>
            <w:tcW w:type="dxa" w:w="1247"/>
            <w:vAlign w:val="center"/>
            <w:shd w:fill="F3F7FA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15.57</w:t>
            </w:r>
          </w:p>
        </w:tc>
        <w:tc>
          <w:tcPr>
            <w:tcW w:type="dxa" w:w="1247"/>
            <w:vAlign w:val="center"/>
            <w:shd w:fill="F3F7FA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21.15</w:t>
            </w:r>
          </w:p>
        </w:tc>
        <w:tc>
          <w:tcPr>
            <w:tcW w:type="dxa" w:w="1020"/>
            <w:vAlign w:val="center"/>
            <w:shd w:fill="F3F7FA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8.0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B2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97.57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97.82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98.95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99.43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14.31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20.40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8.5</w:t>
            </w:r>
          </w:p>
        </w:tc>
      </w:tr>
      <w:tr>
        <w:tc>
          <w:tcPr>
            <w:tcW w:type="dxa" w:w="794"/>
            <w:vAlign w:val="center"/>
            <w:shd w:fill="F3F7FA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B3</w:t>
            </w:r>
          </w:p>
        </w:tc>
        <w:tc>
          <w:tcPr>
            <w:tcW w:type="dxa" w:w="1134"/>
            <w:vAlign w:val="center"/>
            <w:shd w:fill="F3F7FA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97.57</w:t>
            </w:r>
          </w:p>
        </w:tc>
        <w:tc>
          <w:tcPr>
            <w:tcW w:type="dxa" w:w="1020"/>
            <w:vAlign w:val="center"/>
            <w:shd w:fill="F3F7FA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97.95</w:t>
            </w:r>
          </w:p>
        </w:tc>
        <w:tc>
          <w:tcPr>
            <w:tcW w:type="dxa" w:w="907"/>
            <w:vAlign w:val="center"/>
            <w:shd w:fill="F3F7FA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99.05</w:t>
            </w:r>
          </w:p>
        </w:tc>
        <w:tc>
          <w:tcPr>
            <w:tcW w:type="dxa" w:w="1020"/>
            <w:vAlign w:val="center"/>
            <w:shd w:fill="F3F7FA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99.50</w:t>
            </w:r>
          </w:p>
        </w:tc>
        <w:tc>
          <w:tcPr>
            <w:tcW w:type="dxa" w:w="1247"/>
            <w:vAlign w:val="center"/>
            <w:shd w:fill="F3F7FA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17.00</w:t>
            </w:r>
          </w:p>
        </w:tc>
        <w:tc>
          <w:tcPr>
            <w:tcW w:type="dxa" w:w="1247"/>
            <w:vAlign w:val="center"/>
            <w:shd w:fill="F3F7FA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23.77</w:t>
            </w:r>
          </w:p>
        </w:tc>
        <w:tc>
          <w:tcPr>
            <w:tcW w:type="dxa" w:w="1020"/>
            <w:vAlign w:val="center"/>
            <w:shd w:fill="F3F7FA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8.5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97.79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97.88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98.95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99.32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16.36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22.59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8.3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140000" cy="26614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rning_rate_lo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66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000000"/>
          <w:sz w:val="19"/>
        </w:rPr>
        <w:t>图 4 不同学习率下的验证损失曲线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140000" cy="26614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rning_rate_metric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66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000000"/>
          <w:sz w:val="19"/>
        </w:rPr>
        <w:t>图 5 学习率与最终测试指标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140000" cy="26614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bedding_abl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66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000000"/>
          <w:sz w:val="19"/>
        </w:rPr>
        <w:t>图 6 TransE 结构向量消融对比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140000" cy="26614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bustne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66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000000"/>
          <w:sz w:val="19"/>
        </w:rPr>
        <w:t>图 7 A0 与最佳神经系统的鲁棒性对比</w:t>
      </w:r>
    </w:p>
    <w:p>
      <w:pPr>
        <w:pStyle w:val="Heading2"/>
      </w:pPr>
      <w:r>
        <w:t>5.5 结果对比分析</w:t>
      </w:r>
    </w:p>
    <w:p>
      <w:pPr>
        <w:spacing w:line="324" w:lineRule="auto" w:after="12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参数修改后，四组学习率的测试实体 Macro-F1 分布在 97.76% 至 97.95% 之间。按验证集 F1 选择的模型为 B2，其验证 F1 为 97.05%；若只观察测试集，最高的是 B3（97.95%），最低的是 B1（97.76%）。模型选择严格依据验证集，未使用测试集反向挑选参数。</w:t>
      </w:r>
    </w:p>
    <w:p>
      <w:pPr>
        <w:spacing w:line="324" w:lineRule="auto" w:after="12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嵌入消融中，B0 的实体 Macro-F1 为 97.82%，C0 为 97.88%。加入 TransE 后该指标降低 0.06 个百分点。由于两组仍保留相同三元组文本，这一差值反映结构向量在本次单种子实验中的附加影响。</w:t>
      </w:r>
    </w:p>
    <w:p>
      <w:pPr>
        <w:spacing w:line="324" w:lineRule="auto" w:after="12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鲁棒性结果为：clean：A0 100.00%，B2 100.00%；paraphrase：A0 75.00%，B2 60.00%；alias：A0 100.00%，B2 100.00%；typo：A0 72.00%，B2 67.67%；unanswerable：A0 100.00%，B2 100.00%。实体链接错误、关系改写覆盖不足和拼写噪声是主要下降来源；生成系统还可能出现多答案漏答。学习率过低会限制五轮内的参数更新，过高则可能使收敛波动增大，因此最终结果需要结合验证损失曲线和实体 F1 共同判断。</w:t>
      </w:r>
    </w:p>
    <w:p>
      <w:pPr>
        <w:spacing w:line="324" w:lineRule="auto" w:after="12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逐题错误归因结果为：A0：实体链接错误 27 题；B2：无依据答案实体 3 题，实体链接错误 27 题，漏答 18 题。该归因按实体链接、关系识别、漏答、答案不完整、无依据实体和拒答失败的顺序判定。</w:t>
      </w:r>
    </w:p>
    <w:p>
      <w:pPr>
        <w:spacing w:line="324" w:lineRule="auto" w:after="12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本次结果总体符合预期：A0 在固定单跳事实查询上具有较高精确性和极低延迟，神经模型的语言生成质量较好，但严格集合匹配会受到漏答影响。结论只适用于本次固定知识库、单次随机种子和电影单跳任务，不推断模型能够回答知识库之外的未知事实。</w:t>
      </w:r>
    </w:p>
    <w:p>
      <w:pPr>
        <w:spacing w:line="324" w:lineRule="auto" w:after="12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人工评价表已生成，准确性、完整性、流畅度和无依据生成字段必须由实验者逐题核查后填写；本报告不以自动指标代替人工事实评价。</w:t>
      </w:r>
    </w:p>
    <w:p>
      <w:pPr>
        <w:pStyle w:val="Heading1"/>
      </w:pPr>
      <w:r>
        <w:t>六 实验总结</w:t>
      </w:r>
    </w:p>
    <w:p>
      <w:pPr>
        <w:spacing w:line="324" w:lineRule="auto" w:after="12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本实验完成了 Wikidata 数据冻结、按电影实体划分、A0 管道问答、TransE 嵌入、五组 FLAN-T5 训练、统一评测、鲁棒性测试和嵌入消融。实际结果表明，B2 在验证集上得到最高实体 F1；A0 在固定事实查询上更容易保持集合精确匹配和低延迟。实验也说明，文本相似度高并不保证多答案实体集合完全正确，知识图谱问答应同时报告实体级指标、文本指标、拒答能力、鲁棒性和运行成本。</w:t>
      </w:r>
    </w:p>
    <w:p>
      <w:pPr>
        <w:spacing w:line="324" w:lineRule="auto" w:after="12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参考资料包括 Wikidata 数据访问文档、TransE 原始论文、PyKEEN 文档、FLAN-T5 模型卡、WebNLG、SacreBLEU 和 ROUGE 论文。完整数据查询和实验设计见项目文件《实验设计与参考资料》。</w:t>
      </w:r>
    </w:p>
    <w:p>
      <w:pPr>
        <w:pStyle w:val="Heading1"/>
      </w:pPr>
      <w:r>
        <w:t>七 参考资料</w:t>
      </w:r>
    </w:p>
    <w:p>
      <w:pPr>
        <w:spacing w:after="80"/>
        <w:ind w:left="283" w:hanging="283"/>
      </w:pPr>
      <w:r>
        <w:rPr>
          <w:rFonts w:ascii="Times New Roman" w:hAnsi="Times New Roman" w:eastAsia="宋体"/>
          <w:b w:val="0"/>
          <w:color w:val="000000"/>
          <w:sz w:val="19"/>
        </w:rPr>
        <w:t>[1] Wikidata. Wikidata Query Service User Manual. https://www.wikidata.org/wiki/Wikidata:SPARQL_query_service/Wikidata_Query_Help</w:t>
      </w:r>
    </w:p>
    <w:p>
      <w:pPr>
        <w:spacing w:after="80"/>
        <w:ind w:left="283" w:hanging="283"/>
      </w:pPr>
      <w:r>
        <w:rPr>
          <w:rFonts w:ascii="Times New Roman" w:hAnsi="Times New Roman" w:eastAsia="宋体"/>
          <w:b w:val="0"/>
          <w:color w:val="000000"/>
          <w:sz w:val="19"/>
        </w:rPr>
        <w:t>[2] Wikidata. Data access and entity data documentation. https://www.wikidata.org/wiki/Wikidata:Data_access</w:t>
      </w:r>
    </w:p>
    <w:p>
      <w:pPr>
        <w:spacing w:after="80"/>
        <w:ind w:left="283" w:hanging="283"/>
      </w:pPr>
      <w:r>
        <w:rPr>
          <w:rFonts w:ascii="Times New Roman" w:hAnsi="Times New Roman" w:eastAsia="宋体"/>
          <w:b w:val="0"/>
          <w:color w:val="000000"/>
          <w:sz w:val="19"/>
        </w:rPr>
        <w:t>[3] Bordes A, Usunier N, Garcia-Duran A, et al. Translating Embeddings for Modeling Multi-relational Data. NeurIPS, 2013.</w:t>
      </w:r>
    </w:p>
    <w:p>
      <w:pPr>
        <w:spacing w:after="80"/>
        <w:ind w:left="283" w:hanging="283"/>
      </w:pPr>
      <w:r>
        <w:rPr>
          <w:rFonts w:ascii="Times New Roman" w:hAnsi="Times New Roman" w:eastAsia="宋体"/>
          <w:b w:val="0"/>
          <w:color w:val="000000"/>
          <w:sz w:val="19"/>
        </w:rPr>
        <w:t>[4] Ali M, Berrendorf M, Hoyt C T, et al. PyKEEN 1.0: A Python Library for Training and Evaluating Knowledge Graph Embeddings. JMLR, 2021.</w:t>
      </w:r>
    </w:p>
    <w:p>
      <w:pPr>
        <w:spacing w:after="80"/>
        <w:ind w:left="283" w:hanging="283"/>
      </w:pPr>
      <w:r>
        <w:rPr>
          <w:rFonts w:ascii="Times New Roman" w:hAnsi="Times New Roman" w:eastAsia="宋体"/>
          <w:b w:val="0"/>
          <w:color w:val="000000"/>
          <w:sz w:val="19"/>
        </w:rPr>
        <w:t>[5] Google. FLAN-T5-small model card. https://huggingface.co/google/flan-t5-small</w:t>
      </w:r>
    </w:p>
    <w:p>
      <w:pPr>
        <w:spacing w:after="80"/>
        <w:ind w:left="283" w:hanging="283"/>
      </w:pPr>
      <w:r>
        <w:rPr>
          <w:rFonts w:ascii="Times New Roman" w:hAnsi="Times New Roman" w:eastAsia="宋体"/>
          <w:b w:val="0"/>
          <w:color w:val="000000"/>
          <w:sz w:val="19"/>
        </w:rPr>
        <w:t>[6] Gardent C, Shimorina A, Narayan S, Perez-Beltrachini L. Creating Training Corpora for NLG Micro-Planners. ACL, 2017.</w:t>
      </w:r>
    </w:p>
    <w:p>
      <w:pPr>
        <w:spacing w:after="80"/>
        <w:ind w:left="283" w:hanging="283"/>
      </w:pPr>
      <w:r>
        <w:rPr>
          <w:rFonts w:ascii="Times New Roman" w:hAnsi="Times New Roman" w:eastAsia="宋体"/>
          <w:b w:val="0"/>
          <w:color w:val="000000"/>
          <w:sz w:val="19"/>
        </w:rPr>
        <w:t>[7] Post M. A Call for Clarity in Reporting BLEU Scores. WMT, 2018.</w:t>
      </w:r>
    </w:p>
    <w:p>
      <w:pPr>
        <w:spacing w:after="80"/>
        <w:ind w:left="283" w:hanging="283"/>
      </w:pPr>
      <w:r>
        <w:rPr>
          <w:rFonts w:ascii="Times New Roman" w:hAnsi="Times New Roman" w:eastAsia="宋体"/>
          <w:b w:val="0"/>
          <w:color w:val="000000"/>
          <w:sz w:val="19"/>
        </w:rPr>
        <w:t>[8] Lin C Y. ROUGE: A Package for Automatic Evaluation of Summaries. ACL Workshop, 2004.</w:t>
      </w:r>
    </w:p>
    <w:sectPr w:rsidR="00FC693F" w:rsidRPr="0006063C" w:rsidSect="00034616">
      <w:pgSz w:w="12240" w:h="15840"/>
      <w:pgMar w:top="1191" w:right="1304" w:bottom="119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