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rFonts w:ascii="Arial" w:hAnsi="Arial" w:cs="Arial" w:eastAsia="黑体"/>
          <w:b/>
          <w:color w:val="000000"/>
          <w:sz w:val="40"/>
        </w:rPr>
        <w:t>双人分工与复现实验计划</w:t>
      </w:r>
    </w:p>
    <w:p>
      <w:pPr>
        <w:ind w:firstLine="0"/>
        <w:jc w:val="center"/>
      </w:pPr>
      <w:r>
        <w:rPr>
          <w:rFonts w:ascii="Arial" w:hAnsi="Arial" w:cs="Arial" w:eastAsia="宋体"/>
          <w:color w:val="000000"/>
          <w:sz w:val="22"/>
        </w:rPr>
        <w:t>Wikidata 电影知识图谱问答  2026年10月19日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项目按可核验成果分工：A 由本人负责问答与评价，B 由队友负责数据及神经方法。A 已在新 200 部电影快照上完成 A0 真实训练、验证选阈值、测试与参数诊断；B 的神经训练仍待执行。既有仓库按共同基础处理，不以本计划追认历史独立贡献。</w:t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一 责任与协作接口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020"/>
        <w:gridCol w:w="2835"/>
        <w:gridCol w:w="3572"/>
        <w:gridCol w:w="2098"/>
      </w:tblGrid>
      <w:tr>
        <w:trPr>
          <w:tblHeader/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负责人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主责范围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已完成或待交付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同伴验收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本人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实体链接、A0、指标、配对鲁棒性、个人报告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A0 独立运行、五组三次推理、指标与错误案例已完成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抽查预测、拒答口径与分母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 队友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数据版本复核、TransE、FLAN-T5、学习率和 C0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同一新快照上训练、checkpoint、曲线及逐题预测待完成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A 检查数据、覆盖及验证选模</w:t>
            </w:r>
          </w:p>
        </w:tc>
      </w:tr>
      <w:tr>
        <w:trPr>
          <w:cantSplit/>
        </w:trPr>
        <w:tc>
          <w:tcPr>
            <w:tcW w:type="dxa" w:w="1020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两人</w:t>
            </w:r>
          </w:p>
        </w:tc>
        <w:tc>
          <w:tcPr>
            <w:tcW w:type="dxa" w:w="283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独立人工评分、真实截图、结果讨论和答辩</w:t>
            </w:r>
          </w:p>
        </w:tc>
        <w:tc>
          <w:tcPr>
            <w:tcW w:type="dxa" w:w="3572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主观评价尚未评分；个人信息与截图待补</w:t>
            </w:r>
          </w:p>
        </w:tc>
        <w:tc>
          <w:tcPr>
            <w:tcW w:type="dxa" w:w="209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两份原表与讨论记录分开保留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当前已经完成的 A 交付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运行 A0_personal_20261019 的状态为 complete；训练 1 次，每个配置测试推理 3 次，共 15 次。关系阈值仅根据 valid 选择，固定 0.30、0.70、0.90、0.99 只作测试诊断。已有 161 项通过的自动测试及真实数值文件；手写 44 例链接回归只作补充。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本次数据为 200 部电影、552 实体、1264 三元组、2492 问答。B 应优先复用这一已冻结版本；若恢复历史 1000 部电影快照，应另立运行版本并为 A0 同步重跑，不能混用新旧数据成绩。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本次快照 SHA-256  5b02443928ef5503c280c9422376cf5efb8849f13e02ee92f03aca917c47ed38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向 B 交付题目清单、评价口径与完整运行目录。B 向 A 交付每模型全覆盖逐题预测、配置、checkpoint 和验证选择记录。更换数据、模型或代码时使用新运行名，并保留旧证据。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二 后续复现步骤与验收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71"/>
        <w:gridCol w:w="4365"/>
        <w:gridCol w:w="3288"/>
      </w:tblGrid>
      <w:tr>
        <w:trPr>
          <w:tblHeader/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步骤与负责人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执行与交付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验收条件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1 B 数据与环境复核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核对本次快照、哈希、关系和电影划分；建立实际 GPU 环境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无电影跨划分；软件版本与硬件真实记录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2 B 小样本神经预检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先跑 TransE 与少量 FLAN-T5 训练和生成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损失有限、能生成、checkpoint 可加载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3 B 正式模型与消融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B0—B3 依学习率分别重训；C0 移除结构前缀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其余条件一致；仅验证集选模型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4 A 接收并统一评价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严格 ID 和覆盖检查；分关系、有答案、拒答、配对鲁棒性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每题可追溯；计时范围一致并单独说明</w:t>
            </w:r>
          </w:p>
        </w:tc>
      </w:tr>
      <w:tr>
        <w:trPr>
          <w:cantSplit/>
        </w:trPr>
        <w:tc>
          <w:tcPr>
            <w:tcW w:type="dxa" w:w="187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5 两人 完成人工与报告</w:t>
            </w:r>
          </w:p>
        </w:tc>
        <w:tc>
          <w:tcPr>
            <w:tcW w:type="dxa" w:w="436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同题独立盲评、真实截图、各自个人报告与答辩</w:t>
            </w:r>
          </w:p>
        </w:tc>
        <w:tc>
          <w:tcPr>
            <w:tcW w:type="dxa" w:w="3288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原始评分保留；所有数值有来源</w:t>
            </w:r>
          </w:p>
        </w:tc>
      </w:tr>
    </w:tbl>
    <w:p>
      <w:pPr>
        <w:spacing w:after="40" w:line="120" w:lineRule="auto"/>
      </w:pP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可复用命令与证据入口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以下命令从项目根目录执行。A0 个人实验使用轻量 qa-env；神经训练应在 B 实际配置好的独立环境中运行，先 smoke，再决定正式规模。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pytest -q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..\qa-env\Scripts\python.exe -m kgqa.personal_experiment --run-id A0_personal_review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.\scripts\run_experiment.ps1 -Mode smoke -Target 50</w:t>
      </w:r>
    </w:p>
    <w:p>
      <w:pPr>
        <w:widowControl/>
        <w:spacing w:line="252" w:lineRule="auto"/>
        <w:ind w:firstLine="0"/>
      </w:pPr>
      <w:r>
        <w:rPr>
          <w:rFonts w:ascii="Consolas" w:hAnsi="Consolas" w:cs="Arial" w:eastAsia="宋体"/>
          <w:b w:val="0"/>
          <w:color w:val="000000"/>
          <w:sz w:val="17"/>
        </w:rPr>
        <w:t>.\.venv\Scripts\python.exe -m kgqa.human_eval `</w:t>
        <w:br/>
        <w:t xml:space="preserve">    --neural-run &lt;本次验证选中的模型&gt; --limit 100 --seed 42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个人脚本拒绝覆盖已有运行。团队完整脚本可能重新采集或生成资产，正式执行前先保存本次新快照和已完成的个人目录。神经模型应使用本次冻结数据；若脚本另建数据，需明确建立新版本并让 A0 同步重跑。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评价口径与交接检查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基线阈值来自验证集，不能依据测试成绩改选。三次相同模型前向推理不是三次独立重训。别名组只与其配对原题比较，各组列出分母；无法生成的别名不补造。神经回答的实体名称抽取需人工复核未知错误名称和关系说法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延迟若比较两系统，应统一 batch1、硬件、预热、输入与计时范围；另测吞吐时独立报告 batch 大小。历史 batch16 摊销时间与本次 CPU 单题 A0 时间不直接相除。</w:t>
      </w:r>
    </w:p>
    <w:p>
      <w:r>
        <w:br w:type="page"/>
      </w:r>
    </w:p>
    <w:p>
      <w:pPr>
        <w:pStyle w:val="Heading1"/>
      </w:pPr>
      <w:r>
        <w:rPr>
          <w:rFonts w:ascii="Arial" w:hAnsi="Arial" w:cs="Arial" w:eastAsia="黑体"/>
          <w:b/>
          <w:color w:val="000000"/>
          <w:sz w:val="30"/>
        </w:rPr>
        <w:t>三 人工评价与提交安排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A 在新神经模型结果齐备后导出两系统相同题目的盲评表，保存题目清单、种子与覆盖。由组织者保管系统对应密钥。两位评审先各自独立填写，再讨论分歧；任何实际未评的答案保持空白。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381"/>
        <w:gridCol w:w="7143"/>
      </w:tblGrid>
      <w:tr>
        <w:trPr>
          <w:tblHeader/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评价项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8"/>
              </w:rPr>
              <w:t>评分含义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准确性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错误或无证据；1 部分正确；2 全部正确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完整性 0—2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缺失；1 部分覆盖；2 完整覆盖当前标准答案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流畅度 1—5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1 难以理解；3 基本可读；5 自然清楚</w:t>
            </w:r>
          </w:p>
        </w:tc>
      </w:tr>
      <w:tr>
        <w:trPr>
          <w:cantSplit/>
        </w:trPr>
        <w:tc>
          <w:tcPr>
            <w:tcW w:type="dxa" w:w="2381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无依据断言 0/1</w:t>
            </w:r>
          </w:p>
        </w:tc>
        <w:tc>
          <w:tcPr>
            <w:tcW w:type="dxa" w:w="7143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8"/>
              </w:rPr>
              <w:t>0 未发现；1 发现，notes 写明具体断言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保留 A、B 两份原始评分，讨论结果另存；只对实际已评答案计算统计。A 已完成计算实验并不意味着主观评分已经完成。两人各自的报告只写本人参与、理解并能解释的工作。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按依赖推进的安排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3855"/>
        <w:gridCol w:w="3855"/>
      </w:tblGrid>
      <w:tr>
        <w:trPr>
          <w:tblHeader/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阶段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A 本人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DCE6E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/>
                <w:color w:val="000000"/>
                <w:sz w:val="17"/>
              </w:rPr>
              <w:t>B 队友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当前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阅读 diff 与个人运行证据；补身份信息和真实 A0 截图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复核冻结数据并建立实际神经环境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模型训练期间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核查错误案例、准备盲评和统一评价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完成 TransE、B0—B3、C0 与验证选模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模型完成之后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接收预测、统一评价并独立评分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FFFFF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复核指标并独立评分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center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提交与答辩之前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讨论分歧、更新个人报告、说明个人贡献</w:t>
            </w:r>
          </w:p>
        </w:tc>
        <w:tc>
          <w:tcPr>
            <w:tcW w:type="dxa" w:w="3855"/>
            <w:vAlign w:val="center"/>
            <w:tcMar>
              <w:top w:w="85" w:type="dxa"/>
              <w:left w:w="85" w:type="dxa"/>
              <w:bottom w:w="85" w:type="dxa"/>
              <w:right w:w="85" w:type="dxa"/>
            </w:tcMar>
            <w:shd w:fill="F6F7F8"/>
          </w:tcPr>
          <w:p>
            <w:pPr>
              <w:spacing w:after="40" w:before="40" w:line="276" w:lineRule="auto"/>
              <w:ind w:firstLine="0"/>
              <w:jc w:val="left"/>
            </w:pPr>
            <w:r>
              <w:rPr>
                <w:rFonts w:ascii="Arial" w:hAnsi="Arial" w:cs="Arial" w:eastAsia="宋体"/>
                <w:b w:val="0"/>
                <w:color w:val="000000"/>
                <w:sz w:val="17"/>
              </w:rPr>
              <w:t>更新同伴报告、打包训练证据并准备答辩</w:t>
            </w:r>
          </w:p>
        </w:tc>
      </w:tr>
    </w:tbl>
    <w:p>
      <w:pPr>
        <w:spacing w:after="40" w:line="120" w:lineRule="auto"/>
      </w:pP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训练耗时取决于设备与下载条件，以上为任务顺序而非承诺工期。工时开始后据实记录，不预填虚构耗时。</w:t>
      </w:r>
    </w:p>
    <w:p>
      <w:pPr>
        <w:pStyle w:val="Heading2"/>
      </w:pPr>
      <w:r>
        <w:rPr>
          <w:rFonts w:ascii="Arial" w:hAnsi="Arial" w:cs="Arial" w:eastAsia="黑体"/>
          <w:b/>
          <w:color w:val="000000"/>
          <w:sz w:val="24"/>
        </w:rPr>
        <w:t>课程提交前检查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个人姓名学号班级和完成日期；环境真实终端截图 1 张；基础运行真实截图至少 2 张；基线参数与结果；参数变化并额外运行 3 次；对比图；两系统同数据比较及消融；两份真实人工评分与分歧记录；四问分析；代码运行说明。代码提交不携带完整数据、模型缓存或个人凭据。</w:t>
      </w:r>
    </w:p>
    <w:p>
      <w:pPr>
        <w:widowControl/>
      </w:pPr>
      <w:r>
        <w:rPr>
          <w:rFonts w:ascii="Arial" w:hAnsi="Arial" w:cs="Arial" w:eastAsia="宋体"/>
          <w:b w:val="0"/>
          <w:color w:val="000000"/>
          <w:sz w:val="21"/>
        </w:rPr>
        <w:t>贡献清单按“日期、任务、实际操作、文件或运行 ID、结果、同伴复核”填写。A 当前代码与计算证据可以先提交评审；神经训练和人工评价完成后再补充团队最终结果。</w:t>
      </w:r>
    </w:p>
    <w:sectPr w:rsidR="00FC693F" w:rsidRPr="0006063C" w:rsidSect="00034616">
      <w:footerReference w:type="default" r:id="rId9"/>
      <w:pgSz w:w="11906" w:h="16838"/>
      <w:pgMar w:top="1020" w:right="1191" w:bottom="1020" w:left="1191" w:header="397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 w:cs="Arial" w:eastAsia="宋体"/>
        <w:color w:val="000000"/>
        <w:sz w:val="18"/>
      </w:rPr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00" w:lineRule="auto" w:after="120"/>
      <w:ind w:firstLine="369"/>
    </w:pPr>
    <w:rPr>
      <w:rFonts w:ascii="Arial" w:hAnsi="Arial" w:eastAsia="宋体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 w:line="300" w:lineRule="auto"/>
      <w:outlineLvl w:val="0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 w:line="300" w:lineRule="auto"/>
      <w:outlineLvl w:val="1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 w:line="300" w:lineRule="auto"/>
      <w:outlineLvl w:val="2"/>
    </w:pPr>
    <w:rPr>
      <w:rFonts w:asciiTheme="majorHAnsi" w:eastAsiaTheme="majorEastAsia" w:hAnsiTheme="majorHAnsi" w:cstheme="majorBidi" w:ascii="Arial" w:hAnsi="Arial" w:eastAsia="黑体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300" w:lineRule="auto"/>
      <w:contextualSpacing/>
    </w:pPr>
    <w:rPr>
      <w:rFonts w:asciiTheme="majorHAnsi" w:eastAsiaTheme="majorEastAsia" w:hAnsiTheme="majorHAnsi" w:cstheme="majorBidi" w:ascii="Arial" w:hAnsi="Arial" w:eastAsia="黑体"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line="300" w:lineRule="auto" w:after="120"/>
    </w:pPr>
    <w:rPr>
      <w:rFonts w:asciiTheme="majorHAnsi" w:eastAsiaTheme="majorEastAsia" w:hAnsiTheme="majorHAnsi" w:cstheme="majorBidi" w:ascii="Arial" w:hAnsi="Arial" w:eastAsia="宋体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双人分工与复现实验计划</dc:title>
  <dc:subject>人工智能 I 课程实验</dc:subject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