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rPr/>
      </w:pPr>
      <w:r w:rsidDel="00000000" w:rsidR="00000000" w:rsidRPr="00000000">
        <w:rPr>
          <w:rFonts w:ascii="Roboto" w:cs="Roboto" w:eastAsia="Roboto" w:hAnsi="Roboto"/>
          <w:sz w:val="24"/>
          <w:szCs w:val="24"/>
          <w:rtl w:val="0"/>
        </w:rPr>
        <w:t xml:space="preserve">Farsons Group is one of Malta's largest companies, with a history dating back to 1928. The group operates in the brewing, beverage, and hospitality industries, and owns brands such as Cisk Lager, Blue Label, and Lord Chambray. The company is dedicated to producing high-quality products and is committed to sustainable business practices. Farsons Group is a major employer in Malta and is a respected member of the Maltese business community.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NNAcGcNLkesnOYYyeECSeEZP9Ng==">AMUW2mU8XU6UrqHE2qEh3ufy1iBs8yIAIGL7np9Fuf7ue/d/pivLFY1hkd1oUMXk7n1kZIP4uMYsToLHcwT7yRjDUe3dIfm9RD/QUSV3q6wzXG3b6NGmSAM=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