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5C8B"/>
          <w:sz w:val="32"/>
        </w:rPr>
        <w:t>Zanbeel Version Control — Capability Gap Analysis and Delivery Roadmap</w:t>
      </w:r>
    </w:p>
    <w:p>
      <w:pPr>
        <w:spacing w:after="160"/>
      </w:pPr>
      <w:r>
        <w:rPr>
          <w:color w:val="5B6B77"/>
          <w:sz w:val="18"/>
        </w:rPr>
        <w:t>Prepared for engineering management  ·  Four-week delivery plan  ·  Scope: 32 capabilities across 5 areas</w:t>
      </w:r>
    </w:p>
    <w:p>
      <w:pPr>
        <w:spacing w:before="40" w:after="60"/>
      </w:pPr>
      <w:r>
        <w:rPr>
          <w:b/>
          <w:color w:val="1F5C8B"/>
          <w:sz w:val="26"/>
        </w:rPr>
        <w:t>1.  Why this work is needed</w:t>
      </w:r>
    </w:p>
    <w:p>
      <w:pPr>
        <w:spacing w:after="80"/>
      </w:pPr>
      <w:r>
        <w:rPr>
          <w:i w:val="0"/>
          <w:sz w:val="19"/>
        </w:rPr>
        <w:t>Zanbeel is the version control system holding the organisation's source code — 63 repositories and 37,466 tracked files. It was audited line by line against the capabilities a team expects from a standard version control system (Git, GitHub, GitLab). The audit was evidence-based: every finding was reproduced against the running server, the production database, the web client and the fox CLI.</w:t>
      </w:r>
    </w:p>
    <w:p>
      <w:pPr>
        <w:spacing w:after="80"/>
      </w:pPr>
      <w:r>
        <w:rPr>
          <w:i w:val="0"/>
          <w:sz w:val="19"/>
        </w:rPr>
        <w:t>The review found 32 capability gaps. Several are not conveniences but risks to the integrity and availability of the code itself: pushes were accepted without authentication, 92% of the 4.2 GB database was build artefacts rather than source, and the only backup was a single stale 520 KB file with no restore path anyone had ever run.</w:t>
      </w:r>
    </w:p>
    <w:p>
      <w:pPr>
        <w:spacing w:before="160" w:after="60"/>
      </w:pPr>
      <w:r>
        <w:rPr>
          <w:b/>
          <w:color w:val="1F5C8B"/>
          <w:sz w:val="26"/>
        </w:rPr>
        <w:t>2.  Where Zanbeel differs from a standard VCS</w:t>
      </w:r>
    </w:p>
    <w:tbl>
      <w:tblPr>
        <w:tblW w:type="auto" w:w="0"/>
        <w:jc w:val="center"/>
        <w:tblLook w:firstColumn="1" w:firstRow="1" w:lastColumn="0" w:lastRow="0" w:noHBand="0" w:noVBand="1" w:val="04A0"/>
        <w:tblBorders>
          <w:top w:val="single" w:sz="4" w:color="C9D2DA"/>
          <w:left w:val="single" w:sz="4" w:color="C9D2DA"/>
          <w:bottom w:val="single" w:sz="4" w:color="C9D2DA"/>
          <w:right w:val="single" w:sz="4" w:color="C9D2DA"/>
          <w:insideH w:val="single" w:sz="4" w:color="C9D2DA"/>
          <w:insideV w:val="single" w:sz="4" w:color="C9D2DA"/>
        </w:tblBorders>
      </w:tblPr>
      <w:tblGrid>
        <w:gridCol w:w="3456"/>
        <w:gridCol w:w="3456"/>
        <w:gridCol w:w="3456"/>
      </w:tblGrid>
      <w:tr>
        <w:trPr>
          <w:cantSplit/>
        </w:trPr>
        <w:tc>
          <w:tcPr>
            <w:tcW w:type="dxa" w:w="2232"/>
            <w:shd w:val="clear" w:fill="1F5C8B"/>
          </w:tcPr>
          <w:p>
            <w:pPr>
              <w:spacing w:after="20" w:before="20"/>
            </w:pPr>
            <w:r/>
            <w:r>
              <w:rPr>
                <w:rFonts w:ascii="Calibri" w:hAnsi="Calibri"/>
                <w:b/>
                <w:color w:val="FFFFFF"/>
                <w:sz w:val="17"/>
              </w:rPr>
              <w:t>Area</w:t>
            </w:r>
          </w:p>
        </w:tc>
        <w:tc>
          <w:tcPr>
            <w:tcW w:type="dxa" w:w="893"/>
            <w:shd w:val="clear" w:fill="1F5C8B"/>
          </w:tcPr>
          <w:p>
            <w:pPr>
              <w:spacing w:after="20" w:before="20"/>
            </w:pPr>
            <w:r/>
            <w:r>
              <w:rPr>
                <w:rFonts w:ascii="Calibri" w:hAnsi="Calibri"/>
                <w:b/>
                <w:color w:val="FFFFFF"/>
                <w:sz w:val="17"/>
              </w:rPr>
              <w:t>Risk</w:t>
            </w:r>
          </w:p>
        </w:tc>
        <w:tc>
          <w:tcPr>
            <w:tcW w:type="dxa" w:w="7243"/>
            <w:shd w:val="clear" w:fill="1F5C8B"/>
          </w:tcPr>
          <w:p>
            <w:pPr>
              <w:spacing w:after="20" w:before="20"/>
            </w:pPr>
            <w:r/>
            <w:r>
              <w:rPr>
                <w:rFonts w:ascii="Calibri" w:hAnsi="Calibri"/>
                <w:b/>
                <w:color w:val="FFFFFF"/>
                <w:sz w:val="17"/>
              </w:rPr>
              <w:t>What is missing today</w:t>
            </w:r>
          </w:p>
        </w:tc>
      </w:tr>
      <w:tr>
        <w:trPr>
          <w:cantSplit/>
        </w:trPr>
        <w:tc>
          <w:tcPr>
            <w:tcW w:type="dxa" w:w="2232"/>
            <w:shd w:val="clear" w:fill="F2F4F6"/>
          </w:tcPr>
          <w:p>
            <w:pPr>
              <w:spacing w:after="20" w:before="20"/>
            </w:pPr>
            <w:r/>
            <w:r>
              <w:rPr>
                <w:rFonts w:ascii="Calibri" w:hAnsi="Calibri"/>
                <w:b/>
                <w:sz w:val="17"/>
              </w:rPr>
              <w:t>Core version control</w:t>
            </w:r>
          </w:p>
        </w:tc>
        <w:tc>
          <w:tcPr>
            <w:tcW w:type="dxa" w:w="893"/>
          </w:tcPr>
          <w:p>
            <w:pPr>
              <w:spacing w:after="20" w:before="20"/>
              <w:jc w:val="center"/>
            </w:pPr>
            <w:r/>
            <w:r>
              <w:rPr>
                <w:rFonts w:ascii="Calibri" w:hAnsi="Calibri"/>
                <w:b/>
                <w:color w:val="B03A2E"/>
                <w:sz w:val="17"/>
              </w:rPr>
              <w:t>Critical</w:t>
            </w:r>
          </w:p>
        </w:tc>
        <w:tc>
          <w:tcPr>
            <w:tcW w:type="dxa" w:w="7243"/>
          </w:tcPr>
          <w:p>
            <w:pPr>
              <w:spacing w:after="20" w:before="20"/>
            </w:pPr>
            <w:r/>
            <w:r>
              <w:rPr>
                <w:rFonts w:ascii="Calibri" w:hAnsi="Calibri"/>
                <w:b w:val="0"/>
                <w:sz w:val="17"/>
              </w:rPr>
              <w:t>No ignore-file support or push size limits, so build artefacts and archives entered the object store unchecked. No compression or external object storage, no garbage collection, no line-level blame, no rebase / cherry-pick / revert, and no commit signing — history could be altered in the database undetectably.</w:t>
            </w:r>
          </w:p>
        </w:tc>
      </w:tr>
      <w:tr>
        <w:trPr>
          <w:cantSplit/>
        </w:trPr>
        <w:tc>
          <w:tcPr>
            <w:tcW w:type="dxa" w:w="2232"/>
            <w:shd w:val="clear" w:fill="F2F4F6"/>
          </w:tcPr>
          <w:p>
            <w:pPr>
              <w:spacing w:after="20" w:before="20"/>
            </w:pPr>
            <w:r/>
            <w:r>
              <w:rPr>
                <w:rFonts w:ascii="Calibri" w:hAnsi="Calibri"/>
                <w:b/>
                <w:sz w:val="17"/>
              </w:rPr>
              <w:t>Review and collaboration</w:t>
            </w:r>
          </w:p>
        </w:tc>
        <w:tc>
          <w:tcPr>
            <w:tcW w:type="dxa" w:w="893"/>
          </w:tcPr>
          <w:p>
            <w:pPr>
              <w:spacing w:after="20" w:before="20"/>
              <w:jc w:val="center"/>
            </w:pPr>
            <w:r/>
            <w:r>
              <w:rPr>
                <w:rFonts w:ascii="Calibri" w:hAnsi="Calibri"/>
                <w:b/>
                <w:color w:val="B03A2E"/>
                <w:sz w:val="17"/>
              </w:rPr>
              <w:t>Critical</w:t>
            </w:r>
          </w:p>
        </w:tc>
        <w:tc>
          <w:tcPr>
            <w:tcW w:type="dxa" w:w="7243"/>
          </w:tcPr>
          <w:p>
            <w:pPr>
              <w:spacing w:after="20" w:before="20"/>
            </w:pPr>
            <w:r/>
            <w:r>
              <w:rPr>
                <w:rFonts w:ascii="Calibri" w:hAnsi="Calibri"/>
                <w:b w:val="0"/>
                <w:sz w:val="17"/>
              </w:rPr>
              <w:t>No approval gate on merges. A conflicted merge reported the conflict and stopped, with no way to resolve it. Branch protection existed as unused code. No inline diff comments, no code owners, and contributing required granting outsiders write access.</w:t>
            </w:r>
          </w:p>
        </w:tc>
      </w:tr>
      <w:tr>
        <w:trPr>
          <w:cantSplit/>
        </w:trPr>
        <w:tc>
          <w:tcPr>
            <w:tcW w:type="dxa" w:w="2232"/>
            <w:shd w:val="clear" w:fill="F2F4F6"/>
          </w:tcPr>
          <w:p>
            <w:pPr>
              <w:spacing w:after="20" w:before="20"/>
            </w:pPr>
            <w:r/>
            <w:r>
              <w:rPr>
                <w:rFonts w:ascii="Calibri" w:hAnsi="Calibri"/>
                <w:b/>
                <w:sz w:val="17"/>
              </w:rPr>
              <w:t>Automation and integration</w:t>
            </w:r>
          </w:p>
        </w:tc>
        <w:tc>
          <w:tcPr>
            <w:tcW w:type="dxa" w:w="893"/>
          </w:tcPr>
          <w:p>
            <w:pPr>
              <w:spacing w:after="20" w:before="20"/>
              <w:jc w:val="center"/>
            </w:pPr>
            <w:r/>
            <w:r>
              <w:rPr>
                <w:rFonts w:ascii="Calibri" w:hAnsi="Calibri"/>
                <w:b/>
                <w:color w:val="9C6415"/>
                <w:sz w:val="17"/>
              </w:rPr>
              <w:t>High</w:t>
            </w:r>
          </w:p>
        </w:tc>
        <w:tc>
          <w:tcPr>
            <w:tcW w:type="dxa" w:w="7243"/>
          </w:tcPr>
          <w:p>
            <w:pPr>
              <w:spacing w:after="20" w:before="20"/>
            </w:pPr>
            <w:r/>
            <w:r>
              <w:rPr>
                <w:rFonts w:ascii="Calibri" w:hAnsi="Calibri"/>
                <w:b w:val="0"/>
                <w:sz w:val="17"/>
              </w:rPr>
              <w:t>The CLI authenticated by sending the user's actual password, so a compromised machine meant a password rotation. No webhooks, so every integration would have to poll. Nothing could report build status against a commit or block a merge on it. No server-side push policy. No key-based authentication.</w:t>
            </w:r>
          </w:p>
        </w:tc>
      </w:tr>
      <w:tr>
        <w:trPr>
          <w:cantSplit/>
        </w:trPr>
        <w:tc>
          <w:tcPr>
            <w:tcW w:type="dxa" w:w="2232"/>
            <w:shd w:val="clear" w:fill="F2F4F6"/>
          </w:tcPr>
          <w:p>
            <w:pPr>
              <w:spacing w:after="20" w:before="20"/>
            </w:pPr>
            <w:r/>
            <w:r>
              <w:rPr>
                <w:rFonts w:ascii="Calibri" w:hAnsi="Calibri"/>
                <w:b/>
                <w:sz w:val="17"/>
              </w:rPr>
              <w:t>Discovery and navigation</w:t>
            </w:r>
          </w:p>
        </w:tc>
        <w:tc>
          <w:tcPr>
            <w:tcW w:type="dxa" w:w="893"/>
          </w:tcPr>
          <w:p>
            <w:pPr>
              <w:spacing w:after="20" w:before="20"/>
              <w:jc w:val="center"/>
            </w:pPr>
            <w:r/>
            <w:r>
              <w:rPr>
                <w:rFonts w:ascii="Calibri" w:hAnsi="Calibri"/>
                <w:b/>
                <w:color w:val="9C6415"/>
                <w:sz w:val="17"/>
              </w:rPr>
              <w:t>High</w:t>
            </w:r>
          </w:p>
        </w:tc>
        <w:tc>
          <w:tcPr>
            <w:tcW w:type="dxa" w:w="7243"/>
          </w:tcPr>
          <w:p>
            <w:pPr>
              <w:spacing w:after="20" w:before="20"/>
            </w:pPr>
            <w:r/>
            <w:r>
              <w:rPr>
                <w:rFonts w:ascii="Calibri" w:hAnsi="Calibri"/>
                <w:b w:val="0"/>
                <w:sz w:val="17"/>
              </w:rPr>
              <w:t>Only issues were searchable — no way to find a string across a repository's files or locate a commit by message. Roughly 44% of the API had no user interface: activity, notifications, tags, releases, branch management and generated documentation were reachable only from the CLI.</w:t>
            </w:r>
          </w:p>
        </w:tc>
      </w:tr>
      <w:tr>
        <w:trPr>
          <w:cantSplit/>
        </w:trPr>
        <w:tc>
          <w:tcPr>
            <w:tcW w:type="dxa" w:w="2232"/>
            <w:shd w:val="clear" w:fill="F2F4F6"/>
          </w:tcPr>
          <w:p>
            <w:pPr>
              <w:spacing w:after="20" w:before="20"/>
            </w:pPr>
            <w:r/>
            <w:r>
              <w:rPr>
                <w:rFonts w:ascii="Calibri" w:hAnsi="Calibri"/>
                <w:b/>
                <w:sz w:val="17"/>
              </w:rPr>
              <w:t>Security and operations</w:t>
            </w:r>
          </w:p>
        </w:tc>
        <w:tc>
          <w:tcPr>
            <w:tcW w:type="dxa" w:w="893"/>
          </w:tcPr>
          <w:p>
            <w:pPr>
              <w:spacing w:after="20" w:before="20"/>
              <w:jc w:val="center"/>
            </w:pPr>
            <w:r/>
            <w:r>
              <w:rPr>
                <w:rFonts w:ascii="Calibri" w:hAnsi="Calibri"/>
                <w:b/>
                <w:color w:val="9C6415"/>
                <w:sz w:val="17"/>
              </w:rPr>
              <w:t>High</w:t>
            </w:r>
          </w:p>
        </w:tc>
        <w:tc>
          <w:tcPr>
            <w:tcW w:type="dxa" w:w="7243"/>
          </w:tcPr>
          <w:p>
            <w:pPr>
              <w:spacing w:after="20" w:before="20"/>
            </w:pPr>
            <w:r/>
            <w:r>
              <w:rPr>
                <w:rFonts w:ascii="Calibri" w:hAnsi="Calibri"/>
                <w:b w:val="0"/>
                <w:sz w:val="17"/>
              </w:rPr>
              <w:t>The login endpoint had no attempt counter, delay or lockout. No tested backup or restore procedure. Schema changes were ad-hoc statements that printed a warning and continued on failure, leaving the server running against a schema it believed it had applied. List endpoints returned everything and grew without bound.</w:t>
            </w:r>
          </w:p>
        </w:tc>
      </w:tr>
    </w:tbl>
    <w:p>
      <w:pPr>
        <w:spacing w:before="160" w:after="60"/>
      </w:pPr>
      <w:r>
        <w:rPr>
          <w:b/>
          <w:color w:val="1F5C8B"/>
          <w:sz w:val="26"/>
        </w:rPr>
        <w:t>3.  Delivery approach</w:t>
      </w:r>
    </w:p>
    <w:p>
      <w:pPr>
        <w:spacing w:after="80"/>
      </w:pPr>
      <w:r>
        <w:rPr>
          <w:i w:val="0"/>
          <w:sz w:val="19"/>
        </w:rPr>
        <w:t>The work is sequenced so that each week ends with a demonstrable, independently useful increment rather than a single delivery at the end of the month. Foundations come first: there is no value in review workflow or integrations built on an object store that is still accepting 900 MB archives. Each week closes with a checkpoint — the increment is verified against production-scale data, reviewed, and signed off before the next begins.</w:t>
      </w:r>
    </w:p>
    <w:p>
      <w:pPr>
        <w:spacing w:before="160" w:after="60"/>
      </w:pPr>
      <w:r>
        <w:rPr>
          <w:b/>
          <w:color w:val="1F5C8B"/>
          <w:sz w:val="26"/>
        </w:rPr>
        <w:t>4.  Four-week schedule</w:t>
      </w:r>
    </w:p>
    <w:tbl>
      <w:tblPr>
        <w:tblW w:type="auto" w:w="0"/>
        <w:jc w:val="center"/>
        <w:tblLook w:firstColumn="1" w:firstRow="1" w:lastColumn="0" w:lastRow="0" w:noHBand="0" w:noVBand="1" w:val="04A0"/>
        <w:tblBorders>
          <w:top w:val="single" w:sz="4" w:color="C9D2DA"/>
          <w:left w:val="single" w:sz="4" w:color="C9D2DA"/>
          <w:bottom w:val="single" w:sz="4" w:color="C9D2DA"/>
          <w:right w:val="single" w:sz="4" w:color="C9D2DA"/>
          <w:insideH w:val="single" w:sz="4" w:color="C9D2DA"/>
          <w:insideV w:val="single" w:sz="4" w:color="C9D2DA"/>
        </w:tblBorders>
      </w:tblPr>
      <w:tblGrid>
        <w:gridCol w:w="1728"/>
        <w:gridCol w:w="1728"/>
        <w:gridCol w:w="1728"/>
        <w:gridCol w:w="1728"/>
        <w:gridCol w:w="1728"/>
        <w:gridCol w:w="1728"/>
      </w:tblGrid>
      <w:tr>
        <w:trPr>
          <w:cantSplit/>
        </w:trPr>
        <w:tc>
          <w:tcPr>
            <w:tcW w:type="dxa" w:w="1901"/>
            <w:shd w:val="clear" w:fill="1F5C8B"/>
          </w:tcPr>
          <w:p>
            <w:pPr>
              <w:spacing w:after="20" w:before="20"/>
            </w:pPr>
            <w:r/>
            <w:r>
              <w:rPr>
                <w:rFonts w:ascii="Calibri" w:hAnsi="Calibri"/>
                <w:b/>
                <w:color w:val="FFFFFF"/>
                <w:sz w:val="17"/>
              </w:rPr>
              <w:t>Workstream</w:t>
            </w:r>
          </w:p>
        </w:tc>
        <w:tc>
          <w:tcPr>
            <w:tcW w:type="dxa" w:w="4723"/>
            <w:shd w:val="clear" w:fill="1F5C8B"/>
          </w:tcPr>
          <w:p>
            <w:pPr>
              <w:spacing w:after="20" w:before="20"/>
            </w:pPr>
            <w:r/>
            <w:r>
              <w:rPr>
                <w:rFonts w:ascii="Calibri" w:hAnsi="Calibri"/>
                <w:b/>
                <w:color w:val="FFFFFF"/>
                <w:sz w:val="17"/>
              </w:rPr>
              <w:t>Deliverable</w:t>
            </w:r>
          </w:p>
        </w:tc>
        <w:tc>
          <w:tcPr>
            <w:tcW w:type="dxa" w:w="936"/>
            <w:shd w:val="clear" w:fill="1F5C8B"/>
          </w:tcPr>
          <w:p>
            <w:pPr>
              <w:spacing w:after="20" w:before="20"/>
              <w:jc w:val="center"/>
            </w:pPr>
            <w:r/>
            <w:r>
              <w:rPr>
                <w:rFonts w:ascii="Calibri" w:hAnsi="Calibri"/>
                <w:b/>
                <w:color w:val="FFFFFF"/>
                <w:sz w:val="17"/>
              </w:rPr>
              <w:t>Week 1</w:t>
            </w:r>
          </w:p>
        </w:tc>
        <w:tc>
          <w:tcPr>
            <w:tcW w:type="dxa" w:w="936"/>
            <w:shd w:val="clear" w:fill="1F5C8B"/>
          </w:tcPr>
          <w:p>
            <w:pPr>
              <w:spacing w:after="20" w:before="20"/>
              <w:jc w:val="center"/>
            </w:pPr>
            <w:r/>
            <w:r>
              <w:rPr>
                <w:rFonts w:ascii="Calibri" w:hAnsi="Calibri"/>
                <w:b/>
                <w:color w:val="FFFFFF"/>
                <w:sz w:val="17"/>
              </w:rPr>
              <w:t>Week 2</w:t>
            </w:r>
          </w:p>
        </w:tc>
        <w:tc>
          <w:tcPr>
            <w:tcW w:type="dxa" w:w="936"/>
            <w:shd w:val="clear" w:fill="1F5C8B"/>
          </w:tcPr>
          <w:p>
            <w:pPr>
              <w:spacing w:after="20" w:before="20"/>
              <w:jc w:val="center"/>
            </w:pPr>
            <w:r/>
            <w:r>
              <w:rPr>
                <w:rFonts w:ascii="Calibri" w:hAnsi="Calibri"/>
                <w:b/>
                <w:color w:val="FFFFFF"/>
                <w:sz w:val="17"/>
              </w:rPr>
              <w:t>Week 3</w:t>
            </w:r>
          </w:p>
        </w:tc>
        <w:tc>
          <w:tcPr>
            <w:tcW w:type="dxa" w:w="936"/>
            <w:shd w:val="clear" w:fill="1F5C8B"/>
          </w:tcPr>
          <w:p>
            <w:pPr>
              <w:spacing w:after="20" w:before="20"/>
              <w:jc w:val="center"/>
            </w:pPr>
            <w:r/>
            <w:r>
              <w:rPr>
                <w:rFonts w:ascii="Calibri" w:hAnsi="Calibri"/>
                <w:b/>
                <w:color w:val="FFFFFF"/>
                <w:sz w:val="17"/>
              </w:rPr>
              <w:t>Week 4</w:t>
            </w:r>
          </w:p>
        </w:tc>
      </w:tr>
      <w:tr>
        <w:trPr>
          <w:cantSplit/>
        </w:trPr>
        <w:tc>
          <w:tcPr>
            <w:tcW w:type="dxa" w:w="1901"/>
            <w:shd w:val="clear" w:fill="DCE9F2"/>
          </w:tcPr>
          <w:p>
            <w:pPr>
              <w:spacing w:after="20" w:before="20"/>
            </w:pPr>
            <w:r/>
            <w:r>
              <w:rPr>
                <w:rFonts w:ascii="Calibri" w:hAnsi="Calibri"/>
                <w:b w:val="0"/>
                <w:sz w:val="15"/>
              </w:rPr>
            </w:r>
          </w:p>
        </w:tc>
        <w:tc>
          <w:tcPr>
            <w:tcW w:type="dxa" w:w="4723"/>
            <w:shd w:val="clear" w:fill="DCE9F2"/>
          </w:tcPr>
          <w:p>
            <w:pPr>
              <w:spacing w:after="20" w:before="20"/>
            </w:pPr>
            <w:r/>
            <w:r>
              <w:rPr>
                <w:rFonts w:ascii="Calibri" w:hAnsi="Calibri"/>
                <w:b w:val="0"/>
                <w:sz w:val="15"/>
              </w:rPr>
            </w:r>
          </w:p>
        </w:tc>
        <w:tc>
          <w:tcPr>
            <w:tcW w:type="dxa" w:w="936"/>
            <w:shd w:val="clear" w:fill="DCE9F2"/>
          </w:tcPr>
          <w:p>
            <w:pPr>
              <w:spacing w:after="20" w:before="20"/>
              <w:jc w:val="center"/>
            </w:pPr>
            <w:r/>
            <w:r>
              <w:rPr>
                <w:rFonts w:ascii="Calibri" w:hAnsi="Calibri"/>
                <w:b w:val="0"/>
                <w:color w:val="41586B"/>
                <w:sz w:val="14"/>
              </w:rPr>
              <w:t>Days 1–5</w:t>
            </w:r>
          </w:p>
        </w:tc>
        <w:tc>
          <w:tcPr>
            <w:tcW w:type="dxa" w:w="936"/>
            <w:shd w:val="clear" w:fill="DCE9F2"/>
          </w:tcPr>
          <w:p>
            <w:pPr>
              <w:spacing w:after="20" w:before="20"/>
              <w:jc w:val="center"/>
            </w:pPr>
            <w:r/>
            <w:r>
              <w:rPr>
                <w:rFonts w:ascii="Calibri" w:hAnsi="Calibri"/>
                <w:b w:val="0"/>
                <w:color w:val="41586B"/>
                <w:sz w:val="14"/>
              </w:rPr>
              <w:t>Days 6–10</w:t>
            </w:r>
          </w:p>
        </w:tc>
        <w:tc>
          <w:tcPr>
            <w:tcW w:type="dxa" w:w="936"/>
            <w:shd w:val="clear" w:fill="DCE9F2"/>
          </w:tcPr>
          <w:p>
            <w:pPr>
              <w:spacing w:after="20" w:before="20"/>
              <w:jc w:val="center"/>
            </w:pPr>
            <w:r/>
            <w:r>
              <w:rPr>
                <w:rFonts w:ascii="Calibri" w:hAnsi="Calibri"/>
                <w:b w:val="0"/>
                <w:color w:val="41586B"/>
                <w:sz w:val="14"/>
              </w:rPr>
              <w:t>Days 11–15</w:t>
            </w:r>
          </w:p>
        </w:tc>
        <w:tc>
          <w:tcPr>
            <w:tcW w:type="dxa" w:w="936"/>
            <w:shd w:val="clear" w:fill="DCE9F2"/>
          </w:tcPr>
          <w:p>
            <w:pPr>
              <w:spacing w:after="20" w:before="20"/>
              <w:jc w:val="center"/>
            </w:pPr>
            <w:r/>
            <w:r>
              <w:rPr>
                <w:rFonts w:ascii="Calibri" w:hAnsi="Calibri"/>
                <w:b w:val="0"/>
                <w:color w:val="41586B"/>
                <w:sz w:val="14"/>
              </w:rPr>
              <w:t>Days 16–20</w:t>
            </w:r>
          </w:p>
        </w:tc>
      </w:tr>
      <w:tr>
        <w:trPr>
          <w:cantSplit/>
        </w:trPr>
        <w:tc>
          <w:tcPr>
            <w:tcW w:type="dxa" w:w="1901"/>
          </w:tcPr>
          <w:p>
            <w:pPr>
              <w:spacing w:after="20" w:before="20"/>
            </w:pPr>
            <w:r/>
            <w:r>
              <w:rPr>
                <w:rFonts w:ascii="Calibri" w:hAnsi="Calibri"/>
                <w:b/>
                <w:sz w:val="16"/>
              </w:rPr>
              <w:t>Audit and baseline</w:t>
            </w:r>
          </w:p>
        </w:tc>
        <w:tc>
          <w:tcPr>
            <w:tcW w:type="dxa" w:w="4723"/>
          </w:tcPr>
          <w:p>
            <w:pPr>
              <w:spacing w:after="20" w:before="20"/>
            </w:pPr>
            <w:r/>
            <w:r>
              <w:rPr>
                <w:rFonts w:ascii="Calibri" w:hAnsi="Calibri"/>
                <w:b w:val="0"/>
                <w:sz w:val="15"/>
              </w:rPr>
              <w:t>Full codebase review; modularise the 6,461-line server file; establish test baseline</w:t>
            </w:r>
          </w:p>
        </w:tc>
        <w:tc>
          <w:tcPr>
            <w:tcW w:type="dxa" w:w="936"/>
            <w:shd w:val="clear" w:fill="2E7DB0"/>
          </w:tcPr>
          <w:p>
            <w:pPr>
              <w:spacing w:after="20" w:before="20"/>
            </w:pPr>
            <w:r/>
            <w:r>
              <w:rPr>
                <w:rFonts w:ascii="Calibri" w:hAnsi="Calibri"/>
                <w:b w:val="0"/>
                <w:sz w:val="16"/>
              </w:rPr>
            </w:r>
          </w:p>
        </w:tc>
        <w:tc>
          <w:tcPr>
            <w:tcW w:type="dxa" w:w="936"/>
          </w:tcPr>
          <w:p>
            <w:pPr>
              <w:spacing w:after="20" w:before="20"/>
            </w:pPr>
            <w:r/>
            <w:r>
              <w:rPr>
                <w:rFonts w:ascii="Calibri" w:hAnsi="Calibri"/>
                <w:b w:val="0"/>
                <w:sz w:val="16"/>
              </w:rPr>
            </w:r>
          </w:p>
        </w:tc>
        <w:tc>
          <w:tcPr>
            <w:tcW w:type="dxa" w:w="936"/>
          </w:tcPr>
          <w:p>
            <w:pPr>
              <w:spacing w:after="20" w:before="20"/>
            </w:pPr>
            <w:r/>
            <w:r>
              <w:rPr>
                <w:rFonts w:ascii="Calibri" w:hAnsi="Calibri"/>
                <w:b w:val="0"/>
                <w:sz w:val="16"/>
              </w:rPr>
            </w:r>
          </w:p>
        </w:tc>
        <w:tc>
          <w:tcPr>
            <w:tcW w:type="dxa" w:w="936"/>
          </w:tcPr>
          <w:p>
            <w:pPr>
              <w:spacing w:after="20" w:before="20"/>
            </w:pPr>
            <w:r/>
            <w:r>
              <w:rPr>
                <w:rFonts w:ascii="Calibri" w:hAnsi="Calibri"/>
                <w:b w:val="0"/>
                <w:sz w:val="16"/>
              </w:rPr>
            </w:r>
          </w:p>
        </w:tc>
      </w:tr>
      <w:tr>
        <w:trPr>
          <w:cantSplit/>
        </w:trPr>
        <w:tc>
          <w:tcPr>
            <w:tcW w:type="dxa" w:w="1901"/>
          </w:tcPr>
          <w:p>
            <w:pPr>
              <w:spacing w:after="20" w:before="20"/>
            </w:pPr>
            <w:r/>
            <w:r>
              <w:rPr>
                <w:rFonts w:ascii="Calibri" w:hAnsi="Calibri"/>
                <w:b/>
                <w:sz w:val="16"/>
              </w:rPr>
              <w:t>Object store and push policy</w:t>
            </w:r>
          </w:p>
        </w:tc>
        <w:tc>
          <w:tcPr>
            <w:tcW w:type="dxa" w:w="4723"/>
          </w:tcPr>
          <w:p>
            <w:pPr>
              <w:spacing w:after="20" w:before="20"/>
            </w:pPr>
            <w:r/>
            <w:r>
              <w:rPr>
                <w:rFonts w:ascii="Calibri" w:hAnsi="Calibri"/>
                <w:b w:val="0"/>
                <w:sz w:val="15"/>
              </w:rPr>
              <w:t>Ignore rules, push size limits, compression, external blob storage, garbage collection</w:t>
            </w:r>
          </w:p>
        </w:tc>
        <w:tc>
          <w:tcPr>
            <w:tcW w:type="dxa" w:w="936"/>
            <w:shd w:val="clear" w:fill="2E7DB0"/>
          </w:tcPr>
          <w:p>
            <w:pPr>
              <w:spacing w:after="20" w:before="20"/>
            </w:pPr>
            <w:r/>
            <w:r>
              <w:rPr>
                <w:rFonts w:ascii="Calibri" w:hAnsi="Calibri"/>
                <w:b w:val="0"/>
                <w:sz w:val="16"/>
              </w:rPr>
            </w:r>
          </w:p>
        </w:tc>
        <w:tc>
          <w:tcPr>
            <w:tcW w:type="dxa" w:w="936"/>
            <w:shd w:val="clear" w:fill="2E7DB0"/>
          </w:tcPr>
          <w:p>
            <w:pPr>
              <w:spacing w:after="20" w:before="20"/>
            </w:pPr>
            <w:r/>
            <w:r>
              <w:rPr>
                <w:rFonts w:ascii="Calibri" w:hAnsi="Calibri"/>
                <w:b w:val="0"/>
                <w:sz w:val="16"/>
              </w:rPr>
            </w:r>
          </w:p>
        </w:tc>
        <w:tc>
          <w:tcPr>
            <w:tcW w:type="dxa" w:w="936"/>
          </w:tcPr>
          <w:p>
            <w:pPr>
              <w:spacing w:after="20" w:before="20"/>
            </w:pPr>
            <w:r/>
            <w:r>
              <w:rPr>
                <w:rFonts w:ascii="Calibri" w:hAnsi="Calibri"/>
                <w:b w:val="0"/>
                <w:sz w:val="16"/>
              </w:rPr>
            </w:r>
          </w:p>
        </w:tc>
        <w:tc>
          <w:tcPr>
            <w:tcW w:type="dxa" w:w="936"/>
          </w:tcPr>
          <w:p>
            <w:pPr>
              <w:spacing w:after="20" w:before="20"/>
            </w:pPr>
            <w:r/>
            <w:r>
              <w:rPr>
                <w:rFonts w:ascii="Calibri" w:hAnsi="Calibri"/>
                <w:b w:val="0"/>
                <w:sz w:val="16"/>
              </w:rPr>
            </w:r>
          </w:p>
        </w:tc>
      </w:tr>
      <w:tr>
        <w:trPr>
          <w:cantSplit/>
        </w:trPr>
        <w:tc>
          <w:tcPr>
            <w:tcW w:type="dxa" w:w="1901"/>
          </w:tcPr>
          <w:p>
            <w:pPr>
              <w:spacing w:after="20" w:before="20"/>
            </w:pPr>
            <w:r/>
            <w:r>
              <w:rPr>
                <w:rFonts w:ascii="Calibri" w:hAnsi="Calibri"/>
                <w:b/>
                <w:sz w:val="16"/>
              </w:rPr>
              <w:t>History integrity</w:t>
            </w:r>
          </w:p>
        </w:tc>
        <w:tc>
          <w:tcPr>
            <w:tcW w:type="dxa" w:w="4723"/>
          </w:tcPr>
          <w:p>
            <w:pPr>
              <w:spacing w:after="20" w:before="20"/>
            </w:pPr>
            <w:r/>
            <w:r>
              <w:rPr>
                <w:rFonts w:ascii="Calibri" w:hAnsi="Calibri"/>
                <w:b w:val="0"/>
                <w:sz w:val="15"/>
              </w:rPr>
              <w:t>Line-level blame; rebase, cherry-pick and revert; commit signing and verification</w:t>
            </w:r>
          </w:p>
        </w:tc>
        <w:tc>
          <w:tcPr>
            <w:tcW w:type="dxa" w:w="936"/>
          </w:tcPr>
          <w:p>
            <w:pPr>
              <w:spacing w:after="20" w:before="20"/>
            </w:pPr>
            <w:r/>
            <w:r>
              <w:rPr>
                <w:rFonts w:ascii="Calibri" w:hAnsi="Calibri"/>
                <w:b w:val="0"/>
                <w:sz w:val="16"/>
              </w:rPr>
            </w:r>
          </w:p>
        </w:tc>
        <w:tc>
          <w:tcPr>
            <w:tcW w:type="dxa" w:w="936"/>
            <w:shd w:val="clear" w:fill="2E7DB0"/>
          </w:tcPr>
          <w:p>
            <w:pPr>
              <w:spacing w:after="20" w:before="20"/>
            </w:pPr>
            <w:r/>
            <w:r>
              <w:rPr>
                <w:rFonts w:ascii="Calibri" w:hAnsi="Calibri"/>
                <w:b w:val="0"/>
                <w:sz w:val="16"/>
              </w:rPr>
            </w:r>
          </w:p>
        </w:tc>
        <w:tc>
          <w:tcPr>
            <w:tcW w:type="dxa" w:w="936"/>
          </w:tcPr>
          <w:p>
            <w:pPr>
              <w:spacing w:after="20" w:before="20"/>
            </w:pPr>
            <w:r/>
            <w:r>
              <w:rPr>
                <w:rFonts w:ascii="Calibri" w:hAnsi="Calibri"/>
                <w:b w:val="0"/>
                <w:sz w:val="16"/>
              </w:rPr>
            </w:r>
          </w:p>
        </w:tc>
        <w:tc>
          <w:tcPr>
            <w:tcW w:type="dxa" w:w="936"/>
          </w:tcPr>
          <w:p>
            <w:pPr>
              <w:spacing w:after="20" w:before="20"/>
            </w:pPr>
            <w:r/>
            <w:r>
              <w:rPr>
                <w:rFonts w:ascii="Calibri" w:hAnsi="Calibri"/>
                <w:b w:val="0"/>
                <w:sz w:val="16"/>
              </w:rPr>
            </w:r>
          </w:p>
        </w:tc>
      </w:tr>
      <w:tr>
        <w:trPr>
          <w:cantSplit/>
        </w:trPr>
        <w:tc>
          <w:tcPr>
            <w:tcW w:type="dxa" w:w="1901"/>
          </w:tcPr>
          <w:p>
            <w:pPr>
              <w:spacing w:after="20" w:before="20"/>
            </w:pPr>
            <w:r/>
            <w:r>
              <w:rPr>
                <w:rFonts w:ascii="Calibri" w:hAnsi="Calibri"/>
                <w:b/>
                <w:sz w:val="16"/>
              </w:rPr>
              <w:t>Review workflow</w:t>
            </w:r>
          </w:p>
        </w:tc>
        <w:tc>
          <w:tcPr>
            <w:tcW w:type="dxa" w:w="4723"/>
          </w:tcPr>
          <w:p>
            <w:pPr>
              <w:spacing w:after="20" w:before="20"/>
            </w:pPr>
            <w:r/>
            <w:r>
              <w:rPr>
                <w:rFonts w:ascii="Calibri" w:hAnsi="Calibri"/>
                <w:b w:val="0"/>
                <w:sz w:val="15"/>
              </w:rPr>
              <w:t>Approval gate, inline diff comments, code owners, fork and contribute upstream</w:t>
            </w:r>
          </w:p>
        </w:tc>
        <w:tc>
          <w:tcPr>
            <w:tcW w:type="dxa" w:w="936"/>
          </w:tcPr>
          <w:p>
            <w:pPr>
              <w:spacing w:after="20" w:before="20"/>
            </w:pPr>
            <w:r/>
            <w:r>
              <w:rPr>
                <w:rFonts w:ascii="Calibri" w:hAnsi="Calibri"/>
                <w:b w:val="0"/>
                <w:sz w:val="16"/>
              </w:rPr>
            </w:r>
          </w:p>
        </w:tc>
        <w:tc>
          <w:tcPr>
            <w:tcW w:type="dxa" w:w="936"/>
            <w:shd w:val="clear" w:fill="2E7DB0"/>
          </w:tcPr>
          <w:p>
            <w:pPr>
              <w:spacing w:after="20" w:before="20"/>
            </w:pPr>
            <w:r/>
            <w:r>
              <w:rPr>
                <w:rFonts w:ascii="Calibri" w:hAnsi="Calibri"/>
                <w:b w:val="0"/>
                <w:sz w:val="16"/>
              </w:rPr>
            </w:r>
          </w:p>
        </w:tc>
        <w:tc>
          <w:tcPr>
            <w:tcW w:type="dxa" w:w="936"/>
            <w:shd w:val="clear" w:fill="2E7DB0"/>
          </w:tcPr>
          <w:p>
            <w:pPr>
              <w:spacing w:after="20" w:before="20"/>
            </w:pPr>
            <w:r/>
            <w:r>
              <w:rPr>
                <w:rFonts w:ascii="Calibri" w:hAnsi="Calibri"/>
                <w:b w:val="0"/>
                <w:sz w:val="16"/>
              </w:rPr>
            </w:r>
          </w:p>
        </w:tc>
        <w:tc>
          <w:tcPr>
            <w:tcW w:type="dxa" w:w="936"/>
          </w:tcPr>
          <w:p>
            <w:pPr>
              <w:spacing w:after="20" w:before="20"/>
            </w:pPr>
            <w:r/>
            <w:r>
              <w:rPr>
                <w:rFonts w:ascii="Calibri" w:hAnsi="Calibri"/>
                <w:b w:val="0"/>
                <w:sz w:val="16"/>
              </w:rPr>
            </w:r>
          </w:p>
        </w:tc>
      </w:tr>
      <w:tr>
        <w:trPr>
          <w:cantSplit/>
        </w:trPr>
        <w:tc>
          <w:tcPr>
            <w:tcW w:type="dxa" w:w="1901"/>
          </w:tcPr>
          <w:p>
            <w:pPr>
              <w:spacing w:after="20" w:before="20"/>
            </w:pPr>
            <w:r/>
            <w:r>
              <w:rPr>
                <w:rFonts w:ascii="Calibri" w:hAnsi="Calibri"/>
                <w:b/>
                <w:sz w:val="16"/>
              </w:rPr>
              <w:t>Merge conflict resolution</w:t>
            </w:r>
          </w:p>
        </w:tc>
        <w:tc>
          <w:tcPr>
            <w:tcW w:type="dxa" w:w="4723"/>
          </w:tcPr>
          <w:p>
            <w:pPr>
              <w:spacing w:after="20" w:before="20"/>
            </w:pPr>
            <w:r/>
            <w:r>
              <w:rPr>
                <w:rFonts w:ascii="Calibri" w:hAnsi="Calibri"/>
                <w:b w:val="0"/>
                <w:sz w:val="15"/>
              </w:rPr>
              <w:t>Server-side resolution sessions; branch protection enforced on push and merge</w:t>
            </w:r>
          </w:p>
        </w:tc>
        <w:tc>
          <w:tcPr>
            <w:tcW w:type="dxa" w:w="936"/>
          </w:tcPr>
          <w:p>
            <w:pPr>
              <w:spacing w:after="20" w:before="20"/>
            </w:pPr>
            <w:r/>
            <w:r>
              <w:rPr>
                <w:rFonts w:ascii="Calibri" w:hAnsi="Calibri"/>
                <w:b w:val="0"/>
                <w:sz w:val="16"/>
              </w:rPr>
            </w:r>
          </w:p>
        </w:tc>
        <w:tc>
          <w:tcPr>
            <w:tcW w:type="dxa" w:w="936"/>
          </w:tcPr>
          <w:p>
            <w:pPr>
              <w:spacing w:after="20" w:before="20"/>
            </w:pPr>
            <w:r/>
            <w:r>
              <w:rPr>
                <w:rFonts w:ascii="Calibri" w:hAnsi="Calibri"/>
                <w:b w:val="0"/>
                <w:sz w:val="16"/>
              </w:rPr>
            </w:r>
          </w:p>
        </w:tc>
        <w:tc>
          <w:tcPr>
            <w:tcW w:type="dxa" w:w="936"/>
            <w:shd w:val="clear" w:fill="2E7DB0"/>
          </w:tcPr>
          <w:p>
            <w:pPr>
              <w:spacing w:after="20" w:before="20"/>
            </w:pPr>
            <w:r/>
            <w:r>
              <w:rPr>
                <w:rFonts w:ascii="Calibri" w:hAnsi="Calibri"/>
                <w:b w:val="0"/>
                <w:sz w:val="16"/>
              </w:rPr>
            </w:r>
          </w:p>
        </w:tc>
        <w:tc>
          <w:tcPr>
            <w:tcW w:type="dxa" w:w="936"/>
          </w:tcPr>
          <w:p>
            <w:pPr>
              <w:spacing w:after="20" w:before="20"/>
            </w:pPr>
            <w:r/>
            <w:r>
              <w:rPr>
                <w:rFonts w:ascii="Calibri" w:hAnsi="Calibri"/>
                <w:b w:val="0"/>
                <w:sz w:val="16"/>
              </w:rPr>
            </w:r>
          </w:p>
        </w:tc>
      </w:tr>
      <w:tr>
        <w:trPr>
          <w:cantSplit/>
        </w:trPr>
        <w:tc>
          <w:tcPr>
            <w:tcW w:type="dxa" w:w="1901"/>
          </w:tcPr>
          <w:p>
            <w:pPr>
              <w:spacing w:after="20" w:before="20"/>
            </w:pPr>
            <w:r/>
            <w:r>
              <w:rPr>
                <w:rFonts w:ascii="Calibri" w:hAnsi="Calibri"/>
                <w:b/>
                <w:sz w:val="16"/>
              </w:rPr>
              <w:t>Credentials</w:t>
            </w:r>
          </w:p>
        </w:tc>
        <w:tc>
          <w:tcPr>
            <w:tcW w:type="dxa" w:w="4723"/>
          </w:tcPr>
          <w:p>
            <w:pPr>
              <w:spacing w:after="20" w:before="20"/>
            </w:pPr>
            <w:r/>
            <w:r>
              <w:rPr>
                <w:rFonts w:ascii="Calibri" w:hAnsi="Calibri"/>
                <w:b w:val="0"/>
                <w:sz w:val="15"/>
              </w:rPr>
              <w:t>Scoped revocable access tokens; SSH public-key authentication</w:t>
            </w:r>
          </w:p>
        </w:tc>
        <w:tc>
          <w:tcPr>
            <w:tcW w:type="dxa" w:w="936"/>
          </w:tcPr>
          <w:p>
            <w:pPr>
              <w:spacing w:after="20" w:before="20"/>
            </w:pPr>
            <w:r/>
            <w:r>
              <w:rPr>
                <w:rFonts w:ascii="Calibri" w:hAnsi="Calibri"/>
                <w:b w:val="0"/>
                <w:sz w:val="16"/>
              </w:rPr>
            </w:r>
          </w:p>
        </w:tc>
        <w:tc>
          <w:tcPr>
            <w:tcW w:type="dxa" w:w="936"/>
          </w:tcPr>
          <w:p>
            <w:pPr>
              <w:spacing w:after="20" w:before="20"/>
            </w:pPr>
            <w:r/>
            <w:r>
              <w:rPr>
                <w:rFonts w:ascii="Calibri" w:hAnsi="Calibri"/>
                <w:b w:val="0"/>
                <w:sz w:val="16"/>
              </w:rPr>
            </w:r>
          </w:p>
        </w:tc>
        <w:tc>
          <w:tcPr>
            <w:tcW w:type="dxa" w:w="936"/>
            <w:shd w:val="clear" w:fill="2E7DB0"/>
          </w:tcPr>
          <w:p>
            <w:pPr>
              <w:spacing w:after="20" w:before="20"/>
            </w:pPr>
            <w:r/>
            <w:r>
              <w:rPr>
                <w:rFonts w:ascii="Calibri" w:hAnsi="Calibri"/>
                <w:b w:val="0"/>
                <w:sz w:val="16"/>
              </w:rPr>
            </w:r>
          </w:p>
        </w:tc>
        <w:tc>
          <w:tcPr>
            <w:tcW w:type="dxa" w:w="936"/>
          </w:tcPr>
          <w:p>
            <w:pPr>
              <w:spacing w:after="20" w:before="20"/>
            </w:pPr>
            <w:r/>
            <w:r>
              <w:rPr>
                <w:rFonts w:ascii="Calibri" w:hAnsi="Calibri"/>
                <w:b w:val="0"/>
                <w:sz w:val="16"/>
              </w:rPr>
            </w:r>
          </w:p>
        </w:tc>
      </w:tr>
      <w:tr>
        <w:trPr>
          <w:cantSplit/>
        </w:trPr>
        <w:tc>
          <w:tcPr>
            <w:tcW w:type="dxa" w:w="1901"/>
          </w:tcPr>
          <w:p>
            <w:pPr>
              <w:spacing w:after="20" w:before="20"/>
            </w:pPr>
            <w:r/>
            <w:r>
              <w:rPr>
                <w:rFonts w:ascii="Calibri" w:hAnsi="Calibri"/>
                <w:b/>
                <w:sz w:val="16"/>
              </w:rPr>
              <w:t>Integrations</w:t>
            </w:r>
          </w:p>
        </w:tc>
        <w:tc>
          <w:tcPr>
            <w:tcW w:type="dxa" w:w="4723"/>
          </w:tcPr>
          <w:p>
            <w:pPr>
              <w:spacing w:after="20" w:before="20"/>
            </w:pPr>
            <w:r/>
            <w:r>
              <w:rPr>
                <w:rFonts w:ascii="Calibri" w:hAnsi="Calibri"/>
                <w:b w:val="0"/>
                <w:sz w:val="15"/>
              </w:rPr>
              <w:t>Signed webhooks with delivery log; CI status checks as a merge gate; push rules</w:t>
            </w:r>
          </w:p>
        </w:tc>
        <w:tc>
          <w:tcPr>
            <w:tcW w:type="dxa" w:w="936"/>
          </w:tcPr>
          <w:p>
            <w:pPr>
              <w:spacing w:after="20" w:before="20"/>
            </w:pPr>
            <w:r/>
            <w:r>
              <w:rPr>
                <w:rFonts w:ascii="Calibri" w:hAnsi="Calibri"/>
                <w:b w:val="0"/>
                <w:sz w:val="16"/>
              </w:rPr>
            </w:r>
          </w:p>
        </w:tc>
        <w:tc>
          <w:tcPr>
            <w:tcW w:type="dxa" w:w="936"/>
          </w:tcPr>
          <w:p>
            <w:pPr>
              <w:spacing w:after="20" w:before="20"/>
            </w:pPr>
            <w:r/>
            <w:r>
              <w:rPr>
                <w:rFonts w:ascii="Calibri" w:hAnsi="Calibri"/>
                <w:b w:val="0"/>
                <w:sz w:val="16"/>
              </w:rPr>
            </w:r>
          </w:p>
        </w:tc>
        <w:tc>
          <w:tcPr>
            <w:tcW w:type="dxa" w:w="936"/>
            <w:shd w:val="clear" w:fill="2E7DB0"/>
          </w:tcPr>
          <w:p>
            <w:pPr>
              <w:spacing w:after="20" w:before="20"/>
            </w:pPr>
            <w:r/>
            <w:r>
              <w:rPr>
                <w:rFonts w:ascii="Calibri" w:hAnsi="Calibri"/>
                <w:b w:val="0"/>
                <w:sz w:val="16"/>
              </w:rPr>
            </w:r>
          </w:p>
        </w:tc>
        <w:tc>
          <w:tcPr>
            <w:tcW w:type="dxa" w:w="936"/>
            <w:shd w:val="clear" w:fill="2E7DB0"/>
          </w:tcPr>
          <w:p>
            <w:pPr>
              <w:spacing w:after="20" w:before="20"/>
            </w:pPr>
            <w:r/>
            <w:r>
              <w:rPr>
                <w:rFonts w:ascii="Calibri" w:hAnsi="Calibri"/>
                <w:b w:val="0"/>
                <w:sz w:val="16"/>
              </w:rPr>
            </w:r>
          </w:p>
        </w:tc>
      </w:tr>
      <w:tr>
        <w:trPr>
          <w:cantSplit/>
        </w:trPr>
        <w:tc>
          <w:tcPr>
            <w:tcW w:type="dxa" w:w="1901"/>
          </w:tcPr>
          <w:p>
            <w:pPr>
              <w:spacing w:after="20" w:before="20"/>
            </w:pPr>
            <w:r/>
            <w:r>
              <w:rPr>
                <w:rFonts w:ascii="Calibri" w:hAnsi="Calibri"/>
                <w:b/>
                <w:sz w:val="16"/>
              </w:rPr>
              <w:t>Discovery and navigation</w:t>
            </w:r>
          </w:p>
        </w:tc>
        <w:tc>
          <w:tcPr>
            <w:tcW w:type="dxa" w:w="4723"/>
          </w:tcPr>
          <w:p>
            <w:pPr>
              <w:spacing w:after="20" w:before="20"/>
            </w:pPr>
            <w:r/>
            <w:r>
              <w:rPr>
                <w:rFonts w:ascii="Calibri" w:hAnsi="Calibri"/>
                <w:b w:val="0"/>
                <w:sz w:val="15"/>
              </w:rPr>
              <w:t>Repository, commit and code search; activity audit view; notification surface</w:t>
            </w:r>
          </w:p>
        </w:tc>
        <w:tc>
          <w:tcPr>
            <w:tcW w:type="dxa" w:w="936"/>
          </w:tcPr>
          <w:p>
            <w:pPr>
              <w:spacing w:after="20" w:before="20"/>
            </w:pPr>
            <w:r/>
            <w:r>
              <w:rPr>
                <w:rFonts w:ascii="Calibri" w:hAnsi="Calibri"/>
                <w:b w:val="0"/>
                <w:sz w:val="16"/>
              </w:rPr>
            </w:r>
          </w:p>
        </w:tc>
        <w:tc>
          <w:tcPr>
            <w:tcW w:type="dxa" w:w="936"/>
          </w:tcPr>
          <w:p>
            <w:pPr>
              <w:spacing w:after="20" w:before="20"/>
            </w:pPr>
            <w:r/>
            <w:r>
              <w:rPr>
                <w:rFonts w:ascii="Calibri" w:hAnsi="Calibri"/>
                <w:b w:val="0"/>
                <w:sz w:val="16"/>
              </w:rPr>
            </w:r>
          </w:p>
        </w:tc>
        <w:tc>
          <w:tcPr>
            <w:tcW w:type="dxa" w:w="936"/>
          </w:tcPr>
          <w:p>
            <w:pPr>
              <w:spacing w:after="20" w:before="20"/>
            </w:pPr>
            <w:r/>
            <w:r>
              <w:rPr>
                <w:rFonts w:ascii="Calibri" w:hAnsi="Calibri"/>
                <w:b w:val="0"/>
                <w:sz w:val="16"/>
              </w:rPr>
            </w:r>
          </w:p>
        </w:tc>
        <w:tc>
          <w:tcPr>
            <w:tcW w:type="dxa" w:w="936"/>
            <w:shd w:val="clear" w:fill="2E7DB0"/>
          </w:tcPr>
          <w:p>
            <w:pPr>
              <w:spacing w:after="20" w:before="20"/>
            </w:pPr>
            <w:r/>
            <w:r>
              <w:rPr>
                <w:rFonts w:ascii="Calibri" w:hAnsi="Calibri"/>
                <w:b w:val="0"/>
                <w:sz w:val="16"/>
              </w:rPr>
            </w:r>
          </w:p>
        </w:tc>
      </w:tr>
      <w:tr>
        <w:trPr>
          <w:cantSplit/>
        </w:trPr>
        <w:tc>
          <w:tcPr>
            <w:tcW w:type="dxa" w:w="1901"/>
          </w:tcPr>
          <w:p>
            <w:pPr>
              <w:spacing w:after="20" w:before="20"/>
            </w:pPr>
            <w:r/>
            <w:r>
              <w:rPr>
                <w:rFonts w:ascii="Calibri" w:hAnsi="Calibri"/>
                <w:b/>
                <w:sz w:val="16"/>
              </w:rPr>
              <w:t>Repository management UI</w:t>
            </w:r>
          </w:p>
        </w:tc>
        <w:tc>
          <w:tcPr>
            <w:tcW w:type="dxa" w:w="4723"/>
          </w:tcPr>
          <w:p>
            <w:pPr>
              <w:spacing w:after="20" w:before="20"/>
            </w:pPr>
            <w:r/>
            <w:r>
              <w:rPr>
                <w:rFonts w:ascii="Calibri" w:hAnsi="Calibri"/>
                <w:b w:val="0"/>
                <w:sz w:val="15"/>
              </w:rPr>
              <w:t>Branch operations, tags and releases, generated documentation in the web client</w:t>
            </w:r>
          </w:p>
        </w:tc>
        <w:tc>
          <w:tcPr>
            <w:tcW w:type="dxa" w:w="936"/>
          </w:tcPr>
          <w:p>
            <w:pPr>
              <w:spacing w:after="20" w:before="20"/>
            </w:pPr>
            <w:r/>
            <w:r>
              <w:rPr>
                <w:rFonts w:ascii="Calibri" w:hAnsi="Calibri"/>
                <w:b w:val="0"/>
                <w:sz w:val="16"/>
              </w:rPr>
            </w:r>
          </w:p>
        </w:tc>
        <w:tc>
          <w:tcPr>
            <w:tcW w:type="dxa" w:w="936"/>
          </w:tcPr>
          <w:p>
            <w:pPr>
              <w:spacing w:after="20" w:before="20"/>
            </w:pPr>
            <w:r/>
            <w:r>
              <w:rPr>
                <w:rFonts w:ascii="Calibri" w:hAnsi="Calibri"/>
                <w:b w:val="0"/>
                <w:sz w:val="16"/>
              </w:rPr>
            </w:r>
          </w:p>
        </w:tc>
        <w:tc>
          <w:tcPr>
            <w:tcW w:type="dxa" w:w="936"/>
          </w:tcPr>
          <w:p>
            <w:pPr>
              <w:spacing w:after="20" w:before="20"/>
            </w:pPr>
            <w:r/>
            <w:r>
              <w:rPr>
                <w:rFonts w:ascii="Calibri" w:hAnsi="Calibri"/>
                <w:b w:val="0"/>
                <w:sz w:val="16"/>
              </w:rPr>
            </w:r>
          </w:p>
        </w:tc>
        <w:tc>
          <w:tcPr>
            <w:tcW w:type="dxa" w:w="936"/>
            <w:shd w:val="clear" w:fill="2E7DB0"/>
          </w:tcPr>
          <w:p>
            <w:pPr>
              <w:spacing w:after="20" w:before="20"/>
            </w:pPr>
            <w:r/>
            <w:r>
              <w:rPr>
                <w:rFonts w:ascii="Calibri" w:hAnsi="Calibri"/>
                <w:b w:val="0"/>
                <w:sz w:val="16"/>
              </w:rPr>
            </w:r>
          </w:p>
        </w:tc>
      </w:tr>
      <w:tr>
        <w:trPr>
          <w:cantSplit/>
        </w:trPr>
        <w:tc>
          <w:tcPr>
            <w:tcW w:type="dxa" w:w="1901"/>
          </w:tcPr>
          <w:p>
            <w:pPr>
              <w:spacing w:after="20" w:before="20"/>
            </w:pPr>
            <w:r/>
            <w:r>
              <w:rPr>
                <w:rFonts w:ascii="Calibri" w:hAnsi="Calibri"/>
                <w:b/>
                <w:sz w:val="16"/>
              </w:rPr>
              <w:t>Security and operations</w:t>
            </w:r>
          </w:p>
        </w:tc>
        <w:tc>
          <w:tcPr>
            <w:tcW w:type="dxa" w:w="4723"/>
          </w:tcPr>
          <w:p>
            <w:pPr>
              <w:spacing w:after="20" w:before="20"/>
            </w:pPr>
            <w:r/>
            <w:r>
              <w:rPr>
                <w:rFonts w:ascii="Calibri" w:hAnsi="Calibri"/>
                <w:b w:val="0"/>
                <w:sz w:val="15"/>
              </w:rPr>
              <w:t>Login rate limiting; verified backup and restore; schema migrations; pagination</w:t>
            </w:r>
          </w:p>
        </w:tc>
        <w:tc>
          <w:tcPr>
            <w:tcW w:type="dxa" w:w="936"/>
          </w:tcPr>
          <w:p>
            <w:pPr>
              <w:spacing w:after="20" w:before="20"/>
            </w:pPr>
            <w:r/>
            <w:r>
              <w:rPr>
                <w:rFonts w:ascii="Calibri" w:hAnsi="Calibri"/>
                <w:b w:val="0"/>
                <w:sz w:val="16"/>
              </w:rPr>
            </w:r>
          </w:p>
        </w:tc>
        <w:tc>
          <w:tcPr>
            <w:tcW w:type="dxa" w:w="936"/>
          </w:tcPr>
          <w:p>
            <w:pPr>
              <w:spacing w:after="20" w:before="20"/>
            </w:pPr>
            <w:r/>
            <w:r>
              <w:rPr>
                <w:rFonts w:ascii="Calibri" w:hAnsi="Calibri"/>
                <w:b w:val="0"/>
                <w:sz w:val="16"/>
              </w:rPr>
            </w:r>
          </w:p>
        </w:tc>
        <w:tc>
          <w:tcPr>
            <w:tcW w:type="dxa" w:w="936"/>
          </w:tcPr>
          <w:p>
            <w:pPr>
              <w:spacing w:after="20" w:before="20"/>
            </w:pPr>
            <w:r/>
            <w:r>
              <w:rPr>
                <w:rFonts w:ascii="Calibri" w:hAnsi="Calibri"/>
                <w:b w:val="0"/>
                <w:sz w:val="16"/>
              </w:rPr>
            </w:r>
          </w:p>
        </w:tc>
        <w:tc>
          <w:tcPr>
            <w:tcW w:type="dxa" w:w="936"/>
            <w:shd w:val="clear" w:fill="2E7DB0"/>
          </w:tcPr>
          <w:p>
            <w:pPr>
              <w:spacing w:after="20" w:before="20"/>
            </w:pPr>
            <w:r/>
            <w:r>
              <w:rPr>
                <w:rFonts w:ascii="Calibri" w:hAnsi="Calibri"/>
                <w:b w:val="0"/>
                <w:sz w:val="16"/>
              </w:rPr>
            </w:r>
          </w:p>
        </w:tc>
      </w:tr>
      <w:tr>
        <w:trPr>
          <w:cantSplit/>
        </w:trPr>
        <w:tc>
          <w:tcPr>
            <w:tcW w:type="dxa" w:w="1901"/>
          </w:tcPr>
          <w:p>
            <w:pPr>
              <w:spacing w:after="20" w:before="20"/>
            </w:pPr>
            <w:r/>
            <w:r>
              <w:rPr>
                <w:rFonts w:ascii="Calibri" w:hAnsi="Calibri"/>
                <w:b/>
                <w:sz w:val="16"/>
              </w:rPr>
              <w:t>Verification and rollout</w:t>
            </w:r>
          </w:p>
        </w:tc>
        <w:tc>
          <w:tcPr>
            <w:tcW w:type="dxa" w:w="4723"/>
          </w:tcPr>
          <w:p>
            <w:pPr>
              <w:spacing w:after="20" w:before="20"/>
            </w:pPr>
            <w:r/>
            <w:r>
              <w:rPr>
                <w:rFonts w:ascii="Calibri" w:hAnsi="Calibri"/>
                <w:b w:val="0"/>
                <w:sz w:val="15"/>
              </w:rPr>
              <w:t>Production-scale verification, staged deployment and sign-off — continuous</w:t>
            </w:r>
          </w:p>
        </w:tc>
        <w:tc>
          <w:tcPr>
            <w:tcW w:type="dxa" w:w="936"/>
            <w:shd w:val="clear" w:fill="9CC4DE"/>
          </w:tcPr>
          <w:p>
            <w:pPr>
              <w:spacing w:after="20" w:before="20"/>
            </w:pPr>
            <w:r/>
            <w:r>
              <w:rPr>
                <w:rFonts w:ascii="Calibri" w:hAnsi="Calibri"/>
                <w:b w:val="0"/>
                <w:sz w:val="16"/>
              </w:rPr>
            </w:r>
          </w:p>
        </w:tc>
        <w:tc>
          <w:tcPr>
            <w:tcW w:type="dxa" w:w="936"/>
            <w:shd w:val="clear" w:fill="9CC4DE"/>
          </w:tcPr>
          <w:p>
            <w:pPr>
              <w:spacing w:after="20" w:before="20"/>
            </w:pPr>
            <w:r/>
            <w:r>
              <w:rPr>
                <w:rFonts w:ascii="Calibri" w:hAnsi="Calibri"/>
                <w:b w:val="0"/>
                <w:sz w:val="16"/>
              </w:rPr>
            </w:r>
          </w:p>
        </w:tc>
        <w:tc>
          <w:tcPr>
            <w:tcW w:type="dxa" w:w="936"/>
            <w:shd w:val="clear" w:fill="9CC4DE"/>
          </w:tcPr>
          <w:p>
            <w:pPr>
              <w:spacing w:after="20" w:before="20"/>
            </w:pPr>
            <w:r/>
            <w:r>
              <w:rPr>
                <w:rFonts w:ascii="Calibri" w:hAnsi="Calibri"/>
                <w:b w:val="0"/>
                <w:sz w:val="16"/>
              </w:rPr>
            </w:r>
          </w:p>
        </w:tc>
        <w:tc>
          <w:tcPr>
            <w:tcW w:type="dxa" w:w="936"/>
            <w:shd w:val="clear" w:fill="9CC4DE"/>
          </w:tcPr>
          <w:p>
            <w:pPr>
              <w:spacing w:after="20" w:before="20"/>
            </w:pPr>
            <w:r/>
            <w:r>
              <w:rPr>
                <w:rFonts w:ascii="Calibri" w:hAnsi="Calibri"/>
                <w:b w:val="0"/>
                <w:sz w:val="16"/>
              </w:rPr>
            </w:r>
          </w:p>
        </w:tc>
      </w:tr>
    </w:tbl>
    <w:p>
      <w:pPr>
        <w:spacing w:before="60" w:after="120"/>
      </w:pPr>
      <w:r>
        <w:rPr>
          <w:color w:val="5B6B77"/>
          <w:sz w:val="15"/>
        </w:rPr>
        <w:t>Solid bar = focused delivery week.   Light bar = continuous activity across the month.</w:t>
      </w:r>
    </w:p>
    <w:p>
      <w:pPr>
        <w:spacing w:before="80" w:after="60"/>
      </w:pPr>
      <w:r>
        <w:rPr>
          <w:b/>
          <w:color w:val="1F5C8B"/>
          <w:sz w:val="26"/>
        </w:rPr>
        <w:t>5.  Weekly checkpoints</w:t>
      </w:r>
    </w:p>
    <w:tbl>
      <w:tblPr>
        <w:tblW w:type="auto" w:w="0"/>
        <w:jc w:val="center"/>
        <w:tblLook w:firstColumn="1" w:firstRow="1" w:lastColumn="0" w:lastRow="0" w:noHBand="0" w:noVBand="1" w:val="04A0"/>
        <w:tblBorders>
          <w:top w:val="single" w:sz="4" w:color="C9D2DA"/>
          <w:left w:val="single" w:sz="4" w:color="C9D2DA"/>
          <w:bottom w:val="single" w:sz="4" w:color="C9D2DA"/>
          <w:right w:val="single" w:sz="4" w:color="C9D2DA"/>
          <w:insideH w:val="single" w:sz="4" w:color="C9D2DA"/>
          <w:insideV w:val="single" w:sz="4" w:color="C9D2DA"/>
        </w:tblBorders>
      </w:tblPr>
      <w:tblGrid>
        <w:gridCol w:w="5184"/>
        <w:gridCol w:w="5184"/>
      </w:tblGrid>
      <w:tr>
        <w:trPr>
          <w:cantSplit/>
        </w:trPr>
        <w:tc>
          <w:tcPr>
            <w:tcW w:type="dxa" w:w="1800"/>
            <w:shd w:val="clear" w:fill="1F5C8B"/>
          </w:tcPr>
          <w:p>
            <w:pPr>
              <w:spacing w:after="20" w:before="20"/>
            </w:pPr>
            <w:r/>
            <w:r>
              <w:rPr>
                <w:rFonts w:ascii="Calibri" w:hAnsi="Calibri"/>
                <w:b/>
                <w:color w:val="FFFFFF"/>
                <w:sz w:val="17"/>
              </w:rPr>
              <w:t>Checkpoint</w:t>
            </w:r>
          </w:p>
        </w:tc>
        <w:tc>
          <w:tcPr>
            <w:tcW w:type="dxa" w:w="8568"/>
            <w:shd w:val="clear" w:fill="1F5C8B"/>
          </w:tcPr>
          <w:p>
            <w:pPr>
              <w:spacing w:after="20" w:before="20"/>
            </w:pPr>
            <w:r/>
            <w:r>
              <w:rPr>
                <w:rFonts w:ascii="Calibri" w:hAnsi="Calibri"/>
                <w:b/>
                <w:color w:val="FFFFFF"/>
                <w:sz w:val="17"/>
              </w:rPr>
              <w:t>What management will be able to see</w:t>
            </w:r>
          </w:p>
        </w:tc>
      </w:tr>
      <w:tr>
        <w:trPr>
          <w:cantSplit/>
        </w:trPr>
        <w:tc>
          <w:tcPr>
            <w:tcW w:type="dxa" w:w="1800"/>
            <w:shd w:val="clear" w:fill="F2F4F6"/>
          </w:tcPr>
          <w:p>
            <w:pPr>
              <w:spacing w:after="20" w:before="20"/>
            </w:pPr>
            <w:r/>
            <w:r>
              <w:rPr>
                <w:rFonts w:ascii="Calibri" w:hAnsi="Calibri"/>
                <w:b/>
                <w:sz w:val="17"/>
              </w:rPr>
              <w:t>End of week 1</w:t>
            </w:r>
          </w:p>
        </w:tc>
        <w:tc>
          <w:tcPr>
            <w:tcW w:type="dxa" w:w="8568"/>
          </w:tcPr>
          <w:p>
            <w:pPr>
              <w:spacing w:after="20" w:before="20"/>
            </w:pPr>
            <w:r/>
            <w:r>
              <w:rPr>
                <w:rFonts w:ascii="Calibri" w:hAnsi="Calibri"/>
                <w:b w:val="0"/>
                <w:sz w:val="17"/>
              </w:rPr>
              <w:t>Object store under control. Artefacts no longer enter the repository; storage footprint reduced and reclaimable space reported.</w:t>
            </w:r>
          </w:p>
        </w:tc>
      </w:tr>
      <w:tr>
        <w:trPr>
          <w:cantSplit/>
        </w:trPr>
        <w:tc>
          <w:tcPr>
            <w:tcW w:type="dxa" w:w="1800"/>
            <w:shd w:val="clear" w:fill="F2F4F6"/>
          </w:tcPr>
          <w:p>
            <w:pPr>
              <w:spacing w:after="20" w:before="20"/>
            </w:pPr>
            <w:r/>
            <w:r>
              <w:rPr>
                <w:rFonts w:ascii="Calibri" w:hAnsi="Calibri"/>
                <w:b/>
                <w:sz w:val="17"/>
              </w:rPr>
              <w:t>End of week 2</w:t>
            </w:r>
          </w:p>
        </w:tc>
        <w:tc>
          <w:tcPr>
            <w:tcW w:type="dxa" w:w="8568"/>
          </w:tcPr>
          <w:p>
            <w:pPr>
              <w:spacing w:after="20" w:before="20"/>
            </w:pPr>
            <w:r/>
            <w:r>
              <w:rPr>
                <w:rFonts w:ascii="Calibri" w:hAnsi="Calibri"/>
                <w:b w:val="0"/>
                <w:sz w:val="17"/>
              </w:rPr>
              <w:t>History is trustworthy. Every commit is attributable and tamper-evident; blame and history rewriting operations available.</w:t>
            </w:r>
          </w:p>
        </w:tc>
      </w:tr>
      <w:tr>
        <w:trPr>
          <w:cantSplit/>
        </w:trPr>
        <w:tc>
          <w:tcPr>
            <w:tcW w:type="dxa" w:w="1800"/>
            <w:shd w:val="clear" w:fill="F2F4F6"/>
          </w:tcPr>
          <w:p>
            <w:pPr>
              <w:spacing w:after="20" w:before="20"/>
            </w:pPr>
            <w:r/>
            <w:r>
              <w:rPr>
                <w:rFonts w:ascii="Calibri" w:hAnsi="Calibri"/>
                <w:b/>
                <w:sz w:val="17"/>
              </w:rPr>
              <w:t>End of week 3</w:t>
            </w:r>
          </w:p>
        </w:tc>
        <w:tc>
          <w:tcPr>
            <w:tcW w:type="dxa" w:w="8568"/>
          </w:tcPr>
          <w:p>
            <w:pPr>
              <w:spacing w:after="20" w:before="20"/>
            </w:pPr>
            <w:r/>
            <w:r>
              <w:rPr>
                <w:rFonts w:ascii="Calibri" w:hAnsi="Calibri"/>
                <w:b w:val="0"/>
                <w:sz w:val="17"/>
              </w:rPr>
              <w:t>Code review and automation in place. Merges are gated on approval and build status; machines authenticate with scoped credentials rather than passwords.</w:t>
            </w:r>
          </w:p>
        </w:tc>
      </w:tr>
      <w:tr>
        <w:trPr>
          <w:cantSplit/>
        </w:trPr>
        <w:tc>
          <w:tcPr>
            <w:tcW w:type="dxa" w:w="1800"/>
            <w:shd w:val="clear" w:fill="F2F4F6"/>
          </w:tcPr>
          <w:p>
            <w:pPr>
              <w:spacing w:after="20" w:before="20"/>
            </w:pPr>
            <w:r/>
            <w:r>
              <w:rPr>
                <w:rFonts w:ascii="Calibri" w:hAnsi="Calibri"/>
                <w:b/>
                <w:sz w:val="17"/>
              </w:rPr>
              <w:t>End of week 4</w:t>
            </w:r>
          </w:p>
        </w:tc>
        <w:tc>
          <w:tcPr>
            <w:tcW w:type="dxa" w:w="8568"/>
          </w:tcPr>
          <w:p>
            <w:pPr>
              <w:spacing w:after="20" w:before="20"/>
            </w:pPr>
            <w:r/>
            <w:r>
              <w:rPr>
                <w:rFonts w:ascii="Calibri" w:hAnsi="Calibri"/>
                <w:b w:val="0"/>
                <w:sz w:val="17"/>
              </w:rPr>
              <w:t>The platform is operable. Everything the API offers is reachable from the interface, sign-in is protected, and a backup has been taken and restored as a test.</w:t>
            </w:r>
          </w:p>
        </w:tc>
      </w:tr>
    </w:tbl>
    <w:p>
      <w:pPr>
        <w:spacing w:before="160" w:after="60"/>
      </w:pPr>
      <w:r>
        <w:rPr>
          <w:b/>
          <w:color w:val="1F5C8B"/>
          <w:sz w:val="26"/>
        </w:rPr>
        <w:t>6.  Explicitly outside this month</w:t>
      </w:r>
    </w:p>
    <w:p>
      <w:pPr>
        <w:spacing w:after="80"/>
      </w:pPr>
      <w:r>
        <w:rPr>
          <w:i w:val="0"/>
          <w:sz w:val="18"/>
        </w:rPr>
        <w:t>Four items are deliberately deferred so the month is deliverable rather than optimistic. Two-factor authentication is a separate piece of work with its own enrolment and recovery design. Stash and submodules are convenience features with no integrity or availability impact. The migration from SQLite to PostgreSQL has five prerequisites of its own — including moving file contents out of the database, which this month's storage work makes possible — and is proposed as the following cycle.</w:t>
      </w:r>
    </w:p>
    <w:p>
      <w:pPr>
        <w:spacing w:before="120"/>
      </w:pPr>
      <w:r>
        <w:rPr>
          <w:i/>
          <w:color w:val="6B7A85"/>
          <w:sz w:val="15"/>
        </w:rPr>
        <w:t>Scope, sequencing and risk ratings derive from a full audit of the backend, the React client, the fox CLI and read-only queries against the production database. Severity reflects impact on a team relying on Zanbeel as their version control system, not implementation effort.</w:t>
      </w:r>
    </w:p>
    <w:sectPr w:rsidR="00FC693F" w:rsidRPr="0006063C" w:rsidSect="00034616">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