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SavannaPay Capstone Incident Report</w:t>
      </w:r>
    </w:p>
    <w:p>
      <w:r>
        <w:t>AICS 112  |  Asim Shayan Khan  |  30 September 2026</w:t>
      </w:r>
    </w:p>
    <w:p>
      <w:r>
        <w:t>Prioritize investigation of fatima.sani and OPS-WS-009. The event chain supports suspected account and endpoint compromise with a 96 MB outbound transfer. Separate authentication attacks against wale.admin and a blocked attachment affecting chidi.okafor require different responses. No real containment or recovery was executed.</w:t>
      </w:r>
    </w:p>
    <w:p>
      <w:pPr>
        <w:pStyle w:val="Heading1"/>
      </w:pPr>
      <w:r>
        <w:t>Scope and confidence</w:t>
      </w:r>
    </w:p>
    <w:p>
      <w:r>
        <w:t>The capstone contains 60 synthetic events from five telemetry sources, spanning 26 August 2026, 06:03–08:59 UTC (07:03–09:59 WAT). The final deterministic pipeline formed nine candidate groups: two critical, one high and six low. Scores prioritize review; they are not calibrated probabilities or confirmed incident verdicts. [E1–E3]</w:t>
      </w:r>
    </w:p>
    <w:tbl>
      <w:tblPr>
        <w:tblW w:type="auto" w:w="0"/>
        <w:jc w:val="center"/>
        <w:tblLayout w:type="fixed"/>
        <w:tblLook w:firstColumn="1" w:firstRow="1" w:lastColumn="0" w:lastRow="0" w:noHBand="0" w:noVBand="1" w:val="04A0"/>
      </w:tblPr>
      <w:tblGrid>
        <w:gridCol w:w="2376"/>
        <w:gridCol w:w="792"/>
        <w:gridCol w:w="7056"/>
      </w:tblGrid>
      <w:tr>
        <w:trPr>
          <w:tblHeader/>
          <w:cantSplit/>
        </w:trPr>
        <w:tc>
          <w:tcPr>
            <w:tcW w:type="dxa" w:w="237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Candidate</w:t>
            </w:r>
          </w:p>
        </w:tc>
        <w:tc>
          <w:tcPr>
            <w:tcW w:type="dxa" w:w="79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Score</w:t>
            </w:r>
          </w:p>
        </w:tc>
        <w:tc>
          <w:tcPr>
            <w:tcW w:type="dxa" w:w="7056"/>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Assessment</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SOAR-0006</w:t>
              <w:br/>
              <w:t>fatima.sani</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97</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Strongest suspected compromise chain; preserve evidence and seek containment approval.</w:t>
            </w:r>
          </w:p>
        </w:tc>
      </w:tr>
      <w:tr>
        <w:trPr>
          <w:cantSplit/>
        </w:trPr>
        <w:tc>
          <w:tcPr>
            <w:tcW w:type="dxa" w:w="23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SOAR-0005</w:t>
              <w:br/>
              <w:t>wale.admin</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91</w:t>
            </w:r>
          </w:p>
        </w:tc>
        <w:tc>
          <w:tcPr>
            <w:tcW w:type="dxa" w:w="705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Authentication failures and lockout; successful account compromise is not established.</w:t>
            </w:r>
          </w:p>
        </w:tc>
      </w:tr>
      <w:tr>
        <w:trPr>
          <w:cantSplit/>
        </w:trPr>
        <w:tc>
          <w:tcPr>
            <w:tcW w:type="dxa" w:w="237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SOAR-0009</w:t>
              <w:br/>
              <w:t>chidi.okafor</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83</w:t>
            </w:r>
          </w:p>
        </w:tc>
        <w:tc>
          <w:tcPr>
            <w:tcW w:type="dxa" w:w="7056"/>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Attachment blocked and quarantined before execution; verify prevention and scope.</w:t>
            </w:r>
          </w:p>
        </w:tc>
      </w:tr>
      <w:tr>
        <w:trPr>
          <w:cantSplit/>
        </w:trPr>
        <w:tc>
          <w:tcPr>
            <w:tcW w:type="dxa" w:w="237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Six remaining groups</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7–19</w:t>
            </w:r>
          </w:p>
        </w:tc>
        <w:tc>
          <w:tcPr>
            <w:tcW w:type="dxa" w:w="7056"/>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Lower-priority telemetry; low scores do not independently establish benignness.</w:t>
            </w:r>
          </w:p>
        </w:tc>
      </w:tr>
    </w:tbl>
    <w:p>
      <w:pPr>
        <w:spacing w:after="0"/>
      </w:pPr>
    </w:p>
    <w:p>
      <w:pPr>
        <w:pStyle w:val="Heading1"/>
      </w:pPr>
      <w:r>
        <w:t>Immediate decision</w:t>
      </w:r>
    </w:p>
    <w:p>
      <w:r>
        <w:t>For fatima.sani, request analyst approval to simulate isolation of OPS-WS-009 and restriction of the affected identity. Preserve session, OAuth, process and network evidence first where feasible. Investigate the unverified MailSync Pro consent and propose session/token revocation under a separate approved procedure. These additional response recommendations are not implemented adapter actions.</w:t>
      </w:r>
    </w:p>
    <w:p>
      <w:pPr>
        <w:pStyle w:val="Heading1"/>
      </w:pPr>
      <w:r>
        <w:t>Evidence boundaries</w:t>
      </w:r>
    </w:p>
    <w:p>
      <w:r>
        <w:t>The upload destination is 203.0.113.77; transferred content and its sensitivity are unknown. CP-008 records blocked browser-credential access, not successful theft. OPS-WS-009 has inventory criticality 3, below the model critical-asset threshold of 4. No capstone ground truth, packet payloads or live endpoint state is available. [E1, E2]</w:t>
      </w:r>
    </w:p>
    <w:p>
      <w:r>
        <w:br w:type="page"/>
      </w:r>
    </w:p>
    <w:p>
      <w:pPr>
        <w:pStyle w:val="Heading1"/>
      </w:pPr>
      <w:r>
        <w:t>Primary incident timeline</w:t>
      </w:r>
    </w:p>
    <w:p>
      <w:r>
        <w:t>All dates below are 26 August 2026. WAT equals UTC plus one hour. Observations are drawn from event records; interpretations remain analyst hypotheses. [E1]</w:t>
      </w:r>
    </w:p>
    <w:tbl>
      <w:tblPr>
        <w:tblW w:type="auto" w:w="0"/>
        <w:jc w:val="center"/>
        <w:tblLayout w:type="fixed"/>
        <w:tblLook w:firstColumn="1" w:firstRow="1" w:lastColumn="0" w:lastRow="0" w:noHBand="0" w:noVBand="1" w:val="04A0"/>
      </w:tblPr>
      <w:tblGrid>
        <w:gridCol w:w="1080"/>
        <w:gridCol w:w="792"/>
        <w:gridCol w:w="792"/>
        <w:gridCol w:w="7560"/>
      </w:tblGrid>
      <w:tr>
        <w:trPr>
          <w:tblHeader/>
          <w:cantSplit/>
        </w:trPr>
        <w:tc>
          <w:tcPr>
            <w:tcW w:type="dxa" w:w="1080"/>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Event</w:t>
            </w:r>
          </w:p>
        </w:tc>
        <w:tc>
          <w:tcPr>
            <w:tcW w:type="dxa" w:w="79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UTC</w:t>
            </w:r>
          </w:p>
        </w:tc>
        <w:tc>
          <w:tcPr>
            <w:tcW w:type="dxa" w:w="79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WAT</w:t>
            </w:r>
          </w:p>
        </w:tc>
        <w:tc>
          <w:tcPr>
            <w:tcW w:type="dxa" w:w="7560"/>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Observation and interpretation</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CP-001</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06:58</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07:58</w:t>
            </w:r>
          </w:p>
        </w:tc>
        <w:tc>
          <w:tcPr>
            <w:tcW w:type="dxa" w:w="75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External remittance message; phishing domain indicator.</w:t>
            </w:r>
          </w:p>
        </w:tc>
      </w:tr>
      <w:tr>
        <w:trPr>
          <w:cantSplit/>
        </w:trPr>
        <w:tc>
          <w:tcPr>
            <w:tcW w:type="dxa" w:w="108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CP-002</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07:02</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08:02</w:t>
            </w:r>
          </w:p>
        </w:tc>
        <w:tc>
          <w:tcPr>
            <w:tcW w:type="dxa" w:w="75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Authentication link opened; possible credential capture.</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CP-003</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07:09</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08:09</w:t>
            </w:r>
          </w:p>
        </w:tc>
        <w:tc>
          <w:tcPr>
            <w:tcW w:type="dxa" w:w="75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Failed sign-in from GH.</w:t>
            </w:r>
          </w:p>
        </w:tc>
      </w:tr>
      <w:tr>
        <w:trPr>
          <w:cantSplit/>
        </w:trPr>
        <w:tc>
          <w:tcPr>
            <w:tcW w:type="dxa" w:w="108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CP-004</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07:11</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08:11</w:t>
            </w:r>
          </w:p>
        </w:tc>
        <w:tc>
          <w:tcPr>
            <w:tcW w:type="dxa" w:w="75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Successful GH login; inventory normal country is NG.</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CP-005</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07:16</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08:16</w:t>
            </w:r>
          </w:p>
        </w:tc>
        <w:tc>
          <w:tcPr>
            <w:tcW w:type="dxa" w:w="75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Consent to unverified MailSync Pro; investigate scopes and tokens.</w:t>
            </w:r>
          </w:p>
        </w:tc>
      </w:tr>
      <w:tr>
        <w:trPr>
          <w:cantSplit/>
        </w:trPr>
        <w:tc>
          <w:tcPr>
            <w:tcW w:type="dxa" w:w="108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CP-006</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07:31</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08:31</w:t>
            </w:r>
          </w:p>
        </w:tc>
        <w:tc>
          <w:tcPr>
            <w:tcW w:type="dxa" w:w="75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Encoded PowerShell from spreadsheet; suspicious execution.</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CP-007</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07:34</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08:34</w:t>
            </w:r>
          </w:p>
        </w:tc>
        <w:tc>
          <w:tcPr>
            <w:tcW w:type="dxa" w:w="75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TLS beacon every 60 seconds; suspected command channel.</w:t>
            </w:r>
          </w:p>
        </w:tc>
      </w:tr>
      <w:tr>
        <w:trPr>
          <w:cantSplit/>
        </w:trPr>
        <w:tc>
          <w:tcPr>
            <w:tcW w:type="dxa" w:w="108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CP-008</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07:41</w:t>
            </w:r>
          </w:p>
        </w:tc>
        <w:tc>
          <w:tcPr>
            <w:tcW w:type="dxa" w:w="79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08:41</w:t>
            </w:r>
          </w:p>
        </w:tc>
        <w:tc>
          <w:tcPr>
            <w:tcW w:type="dxa" w:w="756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Browser credential-store access attempt blocked.</w:t>
            </w:r>
          </w:p>
        </w:tc>
      </w:tr>
      <w:tr>
        <w:trPr>
          <w:cantSplit/>
        </w:trPr>
        <w:tc>
          <w:tcPr>
            <w:tcW w:type="dxa" w:w="108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CP-009</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07:48</w:t>
            </w:r>
          </w:p>
        </w:tc>
        <w:tc>
          <w:tcPr>
            <w:tcW w:type="dxa" w:w="79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08:48</w:t>
            </w:r>
          </w:p>
        </w:tc>
        <w:tc>
          <w:tcPr>
            <w:tcW w:type="dxa" w:w="756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96 MB transfer allowed to flagged IP; suspected exfiltration.</w:t>
            </w:r>
          </w:p>
        </w:tc>
      </w:tr>
    </w:tbl>
    <w:p>
      <w:pPr>
        <w:spacing w:after="0"/>
      </w:pPr>
    </w:p>
    <w:p>
      <w:pPr>
        <w:pStyle w:val="Heading1"/>
      </w:pPr>
      <w:r>
        <w:t>Indicators and context</w:t>
      </w:r>
    </w:p>
    <w:p>
      <w:r>
        <w:t>secure-docs-auth.example is a supplied phishing indicator. The PowerShell event carries a supplied malware hash, and 203.0.113.77 is labeled as command-and-control/malware infrastructure in the classroom STIX bundle. The source IP 198.51.100.44 also appears in the authentication activity against wale.admin. Shared infrastructure supports further investigation; the correlation engine does not merge these users into one group. [E1, E2]</w:t>
      </w:r>
    </w:p>
    <w:p>
      <w:r>
        <w:t>These addresses and domains are synthetic classroom indicators. They are not real-world blocklist recommendations. Exact indicator values, hashes and confidence values remain in the preserved source files.</w:t>
      </w:r>
    </w:p>
    <w:p>
      <w:r>
        <w:br w:type="page"/>
      </w:r>
    </w:p>
    <w:p>
      <w:pPr>
        <w:pStyle w:val="Heading1"/>
      </w:pPr>
      <w:r>
        <w:t>Other findings and model behavior</w:t>
      </w:r>
    </w:p>
    <w:p>
      <w:r>
        <w:t>For wale.admin, CP-010–CP-013 show repeated failures followed by lockout. CP-013 describes password spraying, but the visible failure sequence for this account alone does not prove a broad multi-account spray. No successful login for this user is shown in the candidate. Routine collaboration messages and low-severity PowerShell inventory activity are grouped with the authentication events. [E1, E3]</w:t>
      </w:r>
    </w:p>
    <w:p>
      <w:r>
        <w:t>This group extends from 06:18 to 08:56 UTC (07:18–09:56 WAT). The 45-minute correlation window is a rolling inter-event gap, so frequent routine events can extend a candidate well beyond 45 minutes. Treat group membership as a candidate relationship, not proof that every event is malicious.</w:t>
      </w:r>
    </w:p>
    <w:p>
      <w:r>
        <w:t>The feature improvement requires the malware-related event itself to have severity at least 60. This changes the administrator malware feature from 1 to 0. Other risk factors remain, and both blended scores round to 91. No weights were fitted to the capstone. The second improvement adds prevention context without automatically lowering scores. These changes were made after inspecting the capstone and are not independent validation. [E3, E4]</w:t>
      </w:r>
    </w:p>
    <w:p>
      <w:r>
        <w:t>For chidi.okafor, CP-014 records email blocking and CP-015 records quarantine before execution. Keep the high score as a review priority while reporting the prevention outcome accurately. Do not claim execution or require automatic isolation solely from this score.</w:t>
      </w:r>
    </w:p>
    <w:p>
      <w:pPr>
        <w:pStyle w:val="Heading1"/>
      </w:pPr>
      <w:r>
        <w:t>ATTACK technique hypotheses</w:t>
      </w:r>
    </w:p>
    <w:tbl>
      <w:tblPr>
        <w:tblW w:type="auto" w:w="0"/>
        <w:jc w:val="center"/>
        <w:tblLayout w:type="fixed"/>
        <w:tblLook w:firstColumn="1" w:firstRow="1" w:lastColumn="0" w:lastRow="0" w:noHBand="0" w:noVBand="1" w:val="04A0"/>
      </w:tblPr>
      <w:tblGrid>
        <w:gridCol w:w="2952"/>
        <w:gridCol w:w="1440"/>
        <w:gridCol w:w="5832"/>
      </w:tblGrid>
      <w:tr>
        <w:trPr>
          <w:tblHeader/>
          <w:cantSplit/>
        </w:trPr>
        <w:tc>
          <w:tcPr>
            <w:tcW w:type="dxa" w:w="295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Technique</w:t>
            </w:r>
          </w:p>
        </w:tc>
        <w:tc>
          <w:tcPr>
            <w:tcW w:type="dxa" w:w="1440"/>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Evidence</w:t>
            </w:r>
          </w:p>
        </w:tc>
        <w:tc>
          <w:tcPr>
            <w:tcW w:type="dxa" w:w="5832"/>
            <w:vAlign w:val="center"/>
            <w:shd w:fill="DCE6F1"/>
            <w:tcBorders>
              <w:top w:val="single" w:sz="4" w:color="D9D9D9"/>
              <w:left w:val="single" w:sz="4" w:color="D9D9D9"/>
              <w:bottom w:val="single" w:sz="4" w:color="D9D9D9"/>
              <w:right w:val="single" w:sz="4" w:color="D9D9D9"/>
            </w:tcBorders>
          </w:tcPr>
          <w:p>
            <w:pPr>
              <w:spacing w:before="60" w:after="60" w:line="240" w:lineRule="auto"/>
            </w:pPr>
            <w:r>
              <w:rPr>
                <w:b/>
                <w:sz w:val="18"/>
              </w:rPr>
              <w:t>Qualification</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T1566.002</w:t>
              <w:br/>
              <w:t>Spearphishing Link</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CP-001–002</w:t>
            </w:r>
          </w:p>
        </w:tc>
        <w:tc>
          <w:tcPr>
            <w:tcW w:type="dxa" w:w="583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Link-delivery and click sequence supports the hypothesis; credential capture is not directly observed. [R1]</w:t>
            </w:r>
          </w:p>
        </w:tc>
      </w:tr>
      <w:tr>
        <w:trPr>
          <w:cantSplit/>
        </w:trPr>
        <w:tc>
          <w:tcPr>
            <w:tcW w:type="dxa" w:w="29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T1059.001</w:t>
              <w:br/>
              <w:t>PowerShell</w:t>
            </w:r>
          </w:p>
        </w:tc>
        <w:tc>
          <w:tcPr>
            <w:tcW w:type="dxa" w:w="144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CP-006</w:t>
            </w:r>
          </w:p>
        </w:tc>
        <w:tc>
          <w:tcPr>
            <w:tcW w:type="dxa" w:w="583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PowerShell launch is recorded; payload content is redacted. [R2]</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T1555.003</w:t>
              <w:br/>
              <w:t>Credentials from Web Browsers</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CP-008</w:t>
            </w:r>
          </w:p>
        </w:tc>
        <w:tc>
          <w:tcPr>
            <w:tcW w:type="dxa" w:w="583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Attempted access was blocked; do not claim successful extraction. [R3]</w:t>
            </w:r>
          </w:p>
        </w:tc>
      </w:tr>
      <w:tr>
        <w:trPr>
          <w:cantSplit/>
        </w:trPr>
        <w:tc>
          <w:tcPr>
            <w:tcW w:type="dxa" w:w="295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T1078</w:t>
              <w:br/>
              <w:t>Valid Accounts</w:t>
            </w:r>
          </w:p>
        </w:tc>
        <w:tc>
          <w:tcPr>
            <w:tcW w:type="dxa" w:w="1440"/>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CP-004</w:t>
            </w:r>
          </w:p>
        </w:tc>
        <w:tc>
          <w:tcPr>
            <w:tcW w:type="dxa" w:w="5832"/>
            <w:vAlign w:val="center"/>
            <w:shd w:fill="F5F7FA"/>
            <w:tcBorders>
              <w:top w:val="single" w:sz="4" w:color="D9D9D9"/>
              <w:left w:val="single" w:sz="4" w:color="D9D9D9"/>
              <w:bottom w:val="single" w:sz="4" w:color="D9D9D9"/>
              <w:right w:val="single" w:sz="4" w:color="D9D9D9"/>
            </w:tcBorders>
          </w:tcPr>
          <w:p>
            <w:pPr>
              <w:spacing w:before="60" w:after="60" w:line="240" w:lineRule="auto"/>
            </w:pPr>
            <w:r>
              <w:rPr>
                <w:b w:val="0"/>
                <w:sz w:val="18"/>
              </w:rPr>
              <w:t>Possible account abuse; anomalous successful login alone is not proof. [R4]</w:t>
            </w:r>
          </w:p>
        </w:tc>
      </w:tr>
      <w:tr>
        <w:trPr>
          <w:cantSplit/>
        </w:trPr>
        <w:tc>
          <w:tcPr>
            <w:tcW w:type="dxa" w:w="295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T1110.003</w:t>
              <w:br/>
              <w:t>Password Spraying</w:t>
            </w:r>
          </w:p>
        </w:tc>
        <w:tc>
          <w:tcPr>
            <w:tcW w:type="dxa" w:w="1440"/>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CP-010–013</w:t>
            </w:r>
          </w:p>
        </w:tc>
        <w:tc>
          <w:tcPr>
            <w:tcW w:type="dxa" w:w="5832"/>
            <w:vAlign w:val="center"/>
            <w:shd w:fill="FFFFFF"/>
            <w:tcBorders>
              <w:top w:val="single" w:sz="4" w:color="D9D9D9"/>
              <w:left w:val="single" w:sz="4" w:color="D9D9D9"/>
              <w:bottom w:val="single" w:sz="4" w:color="D9D9D9"/>
              <w:right w:val="single" w:sz="4" w:color="D9D9D9"/>
            </w:tcBorders>
          </w:tcPr>
          <w:p>
            <w:pPr>
              <w:spacing w:before="60" w:after="60" w:line="240" w:lineRule="auto"/>
            </w:pPr>
            <w:r>
              <w:rPr>
                <w:b w:val="0"/>
                <w:sz w:val="18"/>
              </w:rPr>
              <w:t>Source label suggests spraying; password reuse and broad targeting are not demonstrated. [R5]</w:t>
            </w:r>
          </w:p>
        </w:tc>
      </w:tr>
    </w:tbl>
    <w:p>
      <w:pPr>
        <w:spacing w:after="0"/>
      </w:pPr>
    </w:p>
    <w:p>
      <w:r>
        <w:t>TLS alone does not establish a particular web protocol or exfiltration technique. OAuth consent is retained as an investigation lead without assigning a technique unsupported by permissions or token-use evidence.</w:t>
      </w:r>
    </w:p>
    <w:p>
      <w:r>
        <w:br w:type="page"/>
      </w:r>
    </w:p>
    <w:p>
      <w:pPr>
        <w:pStyle w:val="Heading1"/>
      </w:pPr>
      <w:r>
        <w:t>Containment and approval record</w:t>
      </w:r>
    </w:p>
    <w:p>
      <w:r>
        <w:t>Final capstone actions remain dry-run and approval-gated. The supplied named approve/deny demonstrations concern training incident amina.bello, not the capstone subjects. Asim Shayan Khan approved simulated endpoint isolation and denied identity disable. In the final API check, repeating approval returned the original record and stale training IDs were rejected after the capstone run. No capstone human containment approval is asserted. [E5, E6]</w:t>
      </w:r>
    </w:p>
    <w:p>
      <w:r>
        <w:t>The final application scopes incidents to a dataset and random run identifier, checks single-entity containment resolution, validates decision history before reuse, and rejects conflicting recorded decisions. Analyst names are entered text; they are not authenticated identities. Expiry and role enforcement remain future controls.</w:t>
      </w:r>
    </w:p>
    <w:p>
      <w:pPr>
        <w:pStyle w:val="Heading1"/>
      </w:pPr>
      <w:r>
        <w:t>Response and recovery recommendations</w:t>
      </w:r>
    </w:p>
    <w:p>
      <w:r>
        <w:t>For the primary incident, preserve the relevant email, proxy, identity, OAuth, process and network artifacts. Seek named approval before isolation or identity restriction. Establish whether the transfer included business or personal data, identify affected sessions and consent scopes, and investigate related activity across assets. Record decisions against the current run and entity.</w:t>
      </w:r>
    </w:p>
    <w:p>
      <w:r>
        <w:t>After authorized investigation, proposed recovery includes removing unauthorized application access, resetting affected credentials, revoking relevant sessions, remediating or rebuilding the endpoint where justified, and validating clean telemetry before restoring access. Define an owner, maintenance window and compensating action before any production containment. These steps were not performed by this lab.</w:t>
      </w:r>
    </w:p>
    <w:p>
      <w:pPr>
        <w:pStyle w:val="Heading1"/>
      </w:pPr>
      <w:r>
        <w:t>Data handling and retention</w:t>
      </w:r>
    </w:p>
    <w:p>
      <w:r>
        <w:t>The evidence uses fictional people and assets. Preserve UTC timestamps and source hashes; limit access to the assessment team. In an operational deployment, minimize personal fields in AI prompts, define approved retention and access rules, and escalate suspected personal-data exposure to the designated privacy/legal contact. No legal breach determination is made here.</w:t>
      </w:r>
    </w:p>
    <w:p>
      <w:pPr>
        <w:pStyle w:val="Heading1"/>
      </w:pPr>
      <w:r>
        <w:t>Lessons and remaining risks</w:t>
      </w:r>
    </w:p>
    <w:p>
      <w:r>
        <w:t>Scores require event-level interpretation. A malware indicator is not proof of execution, and a blocked step does not establish that the whole chain was stopped. Remaining risks include rolling-window over-grouping, partial AI validation, regex-only injection flags, non-authenticated approvals, and single-process persistence assumptions. See the updated playbook and test report for exact implemented boundaries.</w:t>
      </w:r>
    </w:p>
    <w:p>
      <w:r>
        <w:br w:type="page"/>
      </w:r>
    </w:p>
    <w:p>
      <w:pPr>
        <w:pStyle w:val="Heading1"/>
      </w:pPr>
      <w:r>
        <w:t>Evidence references</w:t>
      </w:r>
    </w:p>
    <w:p>
      <w:r>
        <w:t>E1  lab_data/capstone/events.jsonl</w:t>
      </w:r>
    </w:p>
    <w:p>
      <w:r>
        <w:t>E2  lab_data/capstone/common/assets.csv, identities.csv and threat_intel_stix.json</w:t>
      </w:r>
    </w:p>
    <w:p>
      <w:r>
        <w:t>E3  output/capstone_improvements/20260929T192120491065Z/capstone/incidents.json</w:t>
      </w:r>
    </w:p>
    <w:p>
      <w:r>
        <w:t>E4  output/capstone_improvements/20260929T192120491065Z/capstone_comparison.json and pipeline_before.py / pipeline_after.py</w:t>
      </w:r>
    </w:p>
    <w:p>
      <w:r>
        <w:t>E5  output/lab5_playbook/20260929T190058086692Z/approval_denial_evidence.json</w:t>
      </w:r>
    </w:p>
    <w:p>
      <w:r>
        <w:t>E6  output/final_fixes/api_check_20260929T193822603056Z/api_check_report.json and runtime/decisions.jsonl</w:t>
      </w:r>
    </w:p>
    <w:p>
      <w:pPr>
        <w:pStyle w:val="Heading1"/>
      </w:pPr>
      <w:r>
        <w:t>External references</w:t>
      </w:r>
    </w:p>
    <w:p>
      <w:r>
        <w:t>R1  MITRE ATT&amp;CK. Spearphishing Link. https://attack.mitre.org/techniques/T1566/002/</w:t>
      </w:r>
    </w:p>
    <w:p>
      <w:r>
        <w:t>R2  MITRE ATT&amp;CK. PowerShell. https://attack.mitre.org/techniques/T1059/001/</w:t>
      </w:r>
    </w:p>
    <w:p>
      <w:r>
        <w:t>R3  MITRE ATT&amp;CK. Credentials from Web Browsers. https://attack.mitre.org/techniques/T1555/003/</w:t>
      </w:r>
    </w:p>
    <w:p>
      <w:r>
        <w:t>R4  MITRE ATT&amp;CK. Valid Accounts. https://attack.mitre.org/techniques/T1078/</w:t>
      </w:r>
    </w:p>
    <w:p>
      <w:r>
        <w:t>R5  MITRE ATT&amp;CK. Password Spraying. https://attack.mitre.org/techniques/T1110/003/</w:t>
      </w:r>
    </w:p>
    <w:p>
      <w:r>
        <w:t>Technique pages consulted for this report on 30 September 2026 (Asia/Karachi). Mappings are analyst hypotheses tied to the stated event evidence, not instructor ground truth. Course requirements: AICS-112 Capstone Project and Submission Templates, Template D; Student Lab Manual, Labs 4–7.</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AICS 112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SavannaPay Capstone Incident Report</dc:title>
  <dc:subject/>
  <dc:creator>Asim Shayan Khan</dc:creator>
  <cp:keywords/>
  <dc:description>generated by python-docx</dc:description>
  <cp:lastModifiedBy/>
  <cp:revision>1</cp:revision>
  <dcterms:created xsi:type="dcterms:W3CDTF">2013-12-23T23:15:00Z</dcterms:created>
  <dcterms:modified xsi:type="dcterms:W3CDTF">2013-12-23T23:15:00Z</dcterms:modified>
  <cp:category/>
</cp:coreProperties>
</file>