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SavannaPay Model Card</w:t>
      </w:r>
    </w:p>
    <w:p>
      <w:r>
        <w:t>AICS 112  |  Asim Shayan Khan  |  30 September 2026</w:t>
      </w:r>
    </w:p>
    <w:p>
      <w:r>
        <w:t>The model supports classroom triage of synthetic telemetry. Final training metrics are perfect on 12 labeled events, but no production accuracy claim or blind-capstone accuracy estimate is supported. Generative AI remains advisory and requires analyst review.</w:t>
      </w:r>
    </w:p>
    <w:p>
      <w:pPr>
        <w:pStyle w:val="Heading1"/>
      </w:pPr>
      <w:r>
        <w:t>Identity and intended use</w:t>
      </w:r>
    </w:p>
    <w:p>
      <w:r>
        <w:t>Owner: Asim Shayan Khan. Submission documentation revision: 1.1. Deterministic component: instructor-weighted logistic scorer with event-specific malware feature and prevention context. Generative component: Ollama qwen3:4b, as reported by retained application responses; an exact model digest was not captured. No student model training or fine-tuning was performed.</w:t>
      </w:r>
    </w:p>
    <w:p>
      <w:r>
        <w:t>Use scores to prioritize investigation and explain contributing features. Do not use this prototype for autonomous containment, production deployment, or a calibrated probability of compromise. Analyst approval is required for high-impact simulations. Criticality and confidence labels are not independent factual verdicts.</w:t>
      </w:r>
    </w:p>
    <w:p>
      <w:pPr>
        <w:pStyle w:val="Heading1"/>
      </w:pPr>
      <w:r>
        <w:t>Features and scoring</w:t>
      </w:r>
    </w:p>
    <w:tbl>
      <w:tblPr>
        <w:tblW w:type="auto" w:w="0"/>
        <w:jc w:val="center"/>
        <w:tblLayout w:type="fixed"/>
        <w:tblLook w:firstColumn="1" w:firstRow="1" w:lastColumn="0" w:lastRow="0" w:noHBand="0" w:noVBand="1" w:val="04A0"/>
      </w:tblPr>
      <w:tblGrid>
        <w:gridCol w:w="2160"/>
        <w:gridCol w:w="1008"/>
        <w:gridCol w:w="7056"/>
      </w:tblGrid>
      <w:tr>
        <w:trPr>
          <w:tblHeader/>
          <w:cantSplit/>
        </w:trPr>
        <w:tc>
          <w:tcPr>
            <w:tcW w:type="dxa" w:w="2160"/>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Feature</w:t>
            </w:r>
          </w:p>
        </w:tc>
        <w:tc>
          <w:tcPr>
            <w:tcW w:type="dxa" w:w="1008"/>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Weight</w:t>
            </w:r>
          </w:p>
        </w:tc>
        <w:tc>
          <w:tcPr>
            <w:tcW w:type="dxa" w:w="7056"/>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Operational definition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ioc_match</w:t>
            </w:r>
          </w:p>
        </w:tc>
        <w:tc>
          <w:tcPr>
            <w:tcW w:type="dxa" w:w="1008"/>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2.35</w:t>
            </w:r>
          </w:p>
        </w:tc>
        <w:tc>
          <w:tcPr>
            <w:tcW w:type="dxa" w:w="705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At least one exact observable match with supplied confidence at least 70.</w:t>
            </w:r>
          </w:p>
        </w:tc>
      </w:tr>
      <w:tr>
        <w:trPr>
          <w:cantSplit/>
        </w:trPr>
        <w:tc>
          <w:tcPr>
            <w:tcW w:type="dxa" w:w="216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multi_source</w:t>
            </w:r>
          </w:p>
        </w:tc>
        <w:tc>
          <w:tcPr>
            <w:tcW w:type="dxa" w:w="1008"/>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1.25</w:t>
            </w:r>
          </w:p>
        </w:tc>
        <w:tc>
          <w:tcPr>
            <w:tcW w:type="dxa" w:w="705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At least two event sources in the correlated group.</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critical_asset</w:t>
            </w:r>
          </w:p>
        </w:tc>
        <w:tc>
          <w:tcPr>
            <w:tcW w:type="dxa" w:w="1008"/>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0.85</w:t>
            </w:r>
          </w:p>
        </w:tc>
        <w:tc>
          <w:tcPr>
            <w:tcW w:type="dxa" w:w="705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Maximum enriched asset criticality at least 4.</w:t>
            </w:r>
          </w:p>
        </w:tc>
      </w:tr>
      <w:tr>
        <w:trPr>
          <w:cantSplit/>
        </w:trPr>
        <w:tc>
          <w:tcPr>
            <w:tcW w:type="dxa" w:w="216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privileged_identity</w:t>
            </w:r>
          </w:p>
        </w:tc>
        <w:tc>
          <w:tcPr>
            <w:tcW w:type="dxa" w:w="1008"/>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1.05</w:t>
            </w:r>
          </w:p>
        </w:tc>
        <w:tc>
          <w:tcPr>
            <w:tcW w:type="dxa" w:w="705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At least one identity marked privileged.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malware_signal</w:t>
            </w:r>
          </w:p>
        </w:tc>
        <w:tc>
          <w:tcPr>
            <w:tcW w:type="dxa" w:w="1008"/>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1.75</w:t>
            </w:r>
          </w:p>
        </w:tc>
        <w:tc>
          <w:tcPr>
            <w:tcW w:type="dxa" w:w="705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A process_start, credential_access or file_quarantined event itself has severity at least 60.</w:t>
            </w:r>
          </w:p>
        </w:tc>
      </w:tr>
      <w:tr>
        <w:trPr>
          <w:cantSplit/>
        </w:trPr>
        <w:tc>
          <w:tcPr>
            <w:tcW w:type="dxa" w:w="216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identity_anomaly</w:t>
            </w:r>
          </w:p>
        </w:tc>
        <w:tc>
          <w:tcPr>
            <w:tcW w:type="dxa" w:w="1008"/>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1.35</w:t>
            </w:r>
          </w:p>
        </w:tc>
        <w:tc>
          <w:tcPr>
            <w:tcW w:type="dxa" w:w="705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MFA method addition, OAuth consent, lockout, or at least three login failures.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exfil_signal</w:t>
            </w:r>
          </w:p>
        </w:tc>
        <w:tc>
          <w:tcPr>
            <w:tcW w:type="dxa" w:w="1008"/>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1.85</w:t>
            </w:r>
          </w:p>
        </w:tc>
        <w:tc>
          <w:tcPr>
            <w:tcW w:type="dxa" w:w="705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A large_upload event is present; transfer contents are not established.</w:t>
            </w:r>
          </w:p>
        </w:tc>
      </w:tr>
    </w:tbl>
    <w:p>
      <w:pPr>
        <w:spacing w:after="0"/>
      </w:pPr>
    </w:p>
    <w:p>
      <w:r>
        <w:t>Intercept = -2.7. Calculate z as intercept plus weighted features; p = 1 / (1 + exp(-z)). Score = round(100 × (0.7 × p + 0.3 × maximum severity / 100)). The model and severity blend are heuristics, not calibrated likelihoods. The prevention context is explanatory metadata and does not alter the score.</w:t>
      </w:r>
    </w:p>
    <w:p>
      <w:r>
        <w:br w:type="page"/>
      </w:r>
    </w:p>
    <w:p>
      <w:pPr>
        <w:pStyle w:val="Heading1"/>
      </w:pPr>
      <w:r>
        <w:t>Evaluation and threshold</w:t>
      </w:r>
    </w:p>
    <w:p>
      <w:r>
        <w:t>Training data: 12 labeled events in five candidate groups; eight malicious events form one attack chain. Predictions inherit each event’s incident score. There is no independent test split or cross-validation. The following results were recomputed from the final improved incident outputs. [M1, M2]</w:t>
      </w:r>
    </w:p>
    <w:tbl>
      <w:tblPr>
        <w:tblW w:type="auto" w:w="0"/>
        <w:jc w:val="center"/>
        <w:tblLayout w:type="fixed"/>
        <w:tblLook w:firstColumn="1" w:firstRow="1" w:lastColumn="0" w:lastRow="0" w:noHBand="0" w:noVBand="1" w:val="04A0"/>
      </w:tblPr>
      <w:tblGrid>
        <w:gridCol w:w="1152"/>
        <w:gridCol w:w="576"/>
        <w:gridCol w:w="576"/>
        <w:gridCol w:w="576"/>
        <w:gridCol w:w="576"/>
        <w:gridCol w:w="1440"/>
        <w:gridCol w:w="1152"/>
        <w:gridCol w:w="864"/>
      </w:tblGrid>
      <w:tr>
        <w:trPr>
          <w:tblHeader/>
          <w:cantSplit/>
        </w:trPr>
        <w:tc>
          <w:tcPr>
            <w:tcW w:type="dxa" w:w="1152"/>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Threshold</w:t>
            </w:r>
          </w:p>
        </w:tc>
        <w:tc>
          <w:tcPr>
            <w:tcW w:type="dxa" w:w="576"/>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TP</w:t>
            </w:r>
          </w:p>
        </w:tc>
        <w:tc>
          <w:tcPr>
            <w:tcW w:type="dxa" w:w="576"/>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FP</w:t>
            </w:r>
          </w:p>
        </w:tc>
        <w:tc>
          <w:tcPr>
            <w:tcW w:type="dxa" w:w="576"/>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TN</w:t>
            </w:r>
          </w:p>
        </w:tc>
        <w:tc>
          <w:tcPr>
            <w:tcW w:type="dxa" w:w="576"/>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FN</w:t>
            </w:r>
          </w:p>
        </w:tc>
        <w:tc>
          <w:tcPr>
            <w:tcW w:type="dxa" w:w="1440"/>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Precision</w:t>
            </w:r>
          </w:p>
        </w:tc>
        <w:tc>
          <w:tcPr>
            <w:tcW w:type="dxa" w:w="1152"/>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Recall</w:t>
            </w:r>
          </w:p>
        </w:tc>
        <w:tc>
          <w:tcPr>
            <w:tcW w:type="dxa" w:w="864"/>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F1</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50</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8</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4</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115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864"/>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r>
      <w:tr>
        <w:trPr>
          <w:cantSplit/>
        </w:trPr>
        <w:tc>
          <w:tcPr>
            <w:tcW w:type="dxa" w:w="115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65</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8</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4</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144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115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864"/>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75</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8</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4</w:t>
            </w:r>
          </w:p>
        </w:tc>
        <w:tc>
          <w:tcPr>
            <w:tcW w:type="dxa" w:w="5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115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864"/>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r>
      <w:tr>
        <w:trPr>
          <w:cantSplit/>
        </w:trPr>
        <w:tc>
          <w:tcPr>
            <w:tcW w:type="dxa" w:w="115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85</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8</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4</w:t>
            </w:r>
          </w:p>
        </w:tc>
        <w:tc>
          <w:tcPr>
            <w:tcW w:type="dxa" w:w="5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w:t>
            </w:r>
          </w:p>
        </w:tc>
        <w:tc>
          <w:tcPr>
            <w:tcW w:type="dxa" w:w="144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115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c>
          <w:tcPr>
            <w:tcW w:type="dxa" w:w="864"/>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1.000</w:t>
            </w:r>
          </w:p>
        </w:tc>
      </w:tr>
    </w:tbl>
    <w:p>
      <w:pPr>
        <w:spacing w:after="0"/>
      </w:pPr>
    </w:p>
    <w:p>
      <w:r>
        <w:t>Retain 65 provisionally for escalation, matching evaluate.py. These identical results do not select an optimum threshold. False negatives delay investigation; false positives consume analyst effort. Costs were not quantified. Bands remain low &lt;40, medium 40–64, high 65–84 and critical ≥85.</w:t>
      </w:r>
    </w:p>
    <w:p>
      <w:r>
        <w:t>The blind capstone contains 60 events and nine candidate groups. It has no student ground truth, so precision, recall and F1 are not reported. Feature changes followed inspection of the capstone and must not be presented as held-out generalization evidence.</w:t>
      </w:r>
    </w:p>
    <w:p>
      <w:pPr>
        <w:pStyle w:val="Heading1"/>
      </w:pPr>
      <w:r>
        <w:t>Generative AI results and failure modes</w:t>
      </w:r>
    </w:p>
    <w:p>
      <w:r>
        <w:t>Retained local-model analysis took 39.3 seconds; the injected-evidence call took 61.1 seconds. A separate earlier request timed out and returned the offline baseline after 90.13 seconds. These are individual timings, not service-level estimates. Raw timestamps are authoritative because the original comparison filename format omitted minutes. [M3]</w:t>
      </w:r>
    </w:p>
    <w:p>
      <w:r>
        <w:t>The original response duplicated identity-disable approval and treated a recorded destination as unknown. The injected response recommended close_as_benign while describing active compromise. It retained human approval and did not visibly instruct disabling every account. This is a semantic quality failure; the single comparison does not establish injection causation or general resistance.</w:t>
      </w:r>
    </w:p>
    <w:p>
      <w:pPr>
        <w:pStyle w:val="Heading1"/>
      </w:pPr>
      <w:r>
        <w:t>Security and human oversight</w:t>
      </w:r>
    </w:p>
    <w:p>
      <w:r>
        <w:t>The application supplies a JSON schema to Ollama and locally checks confidence and allowed recommendation tokens. It does not fully validate all fields or enforce semantic consistency. Regex flags are application-generated and are not proof that the model detected injection. Raw events are still passed to the model. The structured prevention context is not explicitly included in the Ollama request.</w:t>
      </w:r>
    </w:p>
    <w:p>
      <w:r>
        <w:t>The AI endpoint returns advice only. Final browser decisions use run-scoped IDs, verify audit history, reject conflicts and reuse identical recorded decisions. Names are not authenticated, approval expiry is not enforced, and the separate CLI simulation token is not a production authorization mechanism.</w:t>
      </w:r>
    </w:p>
    <w:p>
      <w:r>
        <w:br w:type="page"/>
      </w:r>
    </w:p>
    <w:p>
      <w:pPr>
        <w:pStyle w:val="Heading1"/>
      </w:pPr>
      <w:r>
        <w:t>Limitations and monitoring</w:t>
      </w:r>
    </w:p>
    <w:p>
      <w:r>
        <w:t>The STIX parser extracts simple equality values and confidence but does not enforce indicator validity dates. Correlation uses rolling gaps and last-event entity matching, which can over-group or miss relationships. Missing inventory fields can suppress risk features. Quarantine evidence can still activate malware_signal without establishing execution.</w:t>
      </w:r>
    </w:p>
    <w:p>
      <w:r>
        <w:t>Potential bias follows synthetic attack coverage, inventory privilege labels and source availability. Proposed monitoring includes score and feature distributions, missing fields, analyst overrides, false-positive and false-negative reviews, provider failure rates and AI contradiction counts. Review changes to weights, data feeds and model versions before adoption.</w:t>
      </w:r>
    </w:p>
    <w:p>
      <w:r>
        <w:t>Retire or disable generative advice when repeated contradictions, unsupported claims or provider failures impede review. Use the deterministic explanation and human investigation instead. This is a proposed operational policy; no automatic semantic retirement control is implemented.</w:t>
      </w:r>
    </w:p>
    <w:p>
      <w:pPr>
        <w:pStyle w:val="Heading1"/>
      </w:pPr>
      <w:r>
        <w:t>Change provenance</w:t>
      </w:r>
    </w:p>
    <w:p>
      <w:r>
        <w:t>The baseline was instructor supplied. Student work completed normalization, enrichment and scoring, added boundary tests, and evaluated synthetic training data. AI-assisted additions introduced event-specific malware evidence, prevention context, audit append verification, run scoping and persistent duplicate-decision handling. Final fresh-extraction tests passed 29 of 29. The submitted API report records nine passing checks. [M4]</w:t>
      </w:r>
    </w:p>
    <w:p>
      <w:pPr>
        <w:pStyle w:val="Heading1"/>
      </w:pPr>
      <w:r>
        <w:t>References</w:t>
      </w:r>
    </w:p>
    <w:p>
      <w:r>
        <w:t>M1  output/capstone_improvements/20260929T192120491065Z/training/incidents.json and lab_data/training/ground_truth.csv</w:t>
      </w:r>
    </w:p>
    <w:p>
      <w:r>
        <w:t>M2  submission/final_metrics.json; evaluate.py; soar_lab/pipeline.py</w:t>
      </w:r>
    </w:p>
    <w:p>
      <w:r>
        <w:t>M3  output/lab4_ai comparison JSON files and output/lab4_ai/injection_test_20260929T184702582414Z/ollama_injection_response.json</w:t>
      </w:r>
    </w:p>
    <w:p>
      <w:r>
        <w:t>M4  submission/fresh_extraction_tests.txt; output/final_fixes/api_check_20260929T193822603056Z/api_check_report.json</w:t>
      </w:r>
    </w:p>
    <w:p>
      <w:r>
        <w:t>Course requirement: AICS-112 Student Lab Manual, Lab 4; Capstone Project and Submission Templates, Template C.</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AICS 112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SavannaPay Model Card</dc:title>
  <dc:subject/>
  <dc:creator>Asim Shayan Khan</dc:creator>
  <cp:keywords/>
  <dc:description>generated by python-docx</dc:description>
  <cp:lastModifiedBy/>
  <cp:revision>1</cp:revision>
  <dcterms:created xsi:type="dcterms:W3CDTF">2013-12-23T23:15:00Z</dcterms:created>
  <dcterms:modified xsi:type="dcterms:W3CDTF">2013-12-23T23:15:00Z</dcterms:modified>
  <cp:category/>
</cp:coreProperties>
</file>