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apart from adding VLAN 2900 to the AP ports (see Wi-Fi below). The full device list is in Appendix A. Device addressing, DHCP, DNS, firewall rules and any device-side changes are outside the scope of this change. switch-200V-8, LT2-2 and LT2-3 have no listed devices; their only change is the system-max change. Ports with no listed device, and devices not found on any switch, are tracked on the Review tab of 200V Device Port List.xlsx and are not part of this change.</w:t>
      </w:r>
    </w:p>
    <w:p>
      <w:pPr>
        <w:keepNext/>
        <w:spacing w:before="240" w:after="120"/>
      </w:pPr>
      <w:r>
        <w:rPr>
          <w:b/>
          <w:bCs/>
        </w:rPr>
        <w:t xml:space="preserve">Wi-Fi</w:t>
      </w:r>
    </w:p>
    <w:p>
      <w:r>
        <w:t xml:space="preserve">The 200V APs are moved to the new SSIDs by changing the 200v WLAN group in SmartZone, in the same window after the switch changes. Trinity NetSegPilot is kept, the four existing WLANs are removed, and the three new WLANs are added: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WLAN in the 200v WLAN group (SSID, VLAN)</w:t>
            </w:r>
          </w:p>
        </w:tc>
        <w:tc>
          <w:tcPr>
            <w:tcW w:w="2000" w:type="dxa"/>
            <w:shd w:val="clear" w:color="auto" w:fill="D9D9D9"/>
          </w:tcPr>
          <w:p>
            <w:pPr>
              <w:spacing w:after="0" w:line="240" w:lineRule="auto"/>
            </w:pPr>
            <w:r>
              <w:rPr>
                <w:b/>
                <w:bCs/>
                <w:sz w:val="20"/>
                <w:szCs w:val="20"/>
              </w:rPr>
              <w:t xml:space="preserve">Change</w:t>
            </w:r>
          </w:p>
        </w:tc>
      </w:tr>
      <w:tr>
        <w:trPr>
          <w:cantSplit/>
        </w:trPr>
        <w:tc>
          <w:tcPr>
            <w:tcW w:w="7026" w:type="dxa"/>
          </w:tcPr>
          <w:p>
            <w:pPr>
              <w:spacing w:after="0" w:line="240" w:lineRule="auto"/>
            </w:pPr>
            <w:r>
              <w:rPr>
                <w:sz w:val="20"/>
                <w:szCs w:val="20"/>
              </w:rPr>
              <w:t xml:space="preserve">Trinity NetSegPilot (Trinity NetSegPilot, 2300)</w:t>
            </w:r>
          </w:p>
        </w:tc>
        <w:tc>
          <w:tcPr>
            <w:tcW w:w="2000" w:type="dxa"/>
          </w:tcPr>
          <w:p>
            <w:pPr>
              <w:spacing w:after="0" w:line="240" w:lineRule="auto"/>
            </w:pPr>
            <w:r>
              <w:rPr>
                <w:sz w:val="20"/>
                <w:szCs w:val="20"/>
              </w:rPr>
              <w:t xml:space="preserve">Keep</w:t>
            </w:r>
          </w:p>
        </w:tc>
      </w:tr>
      <w:tr>
        <w:trPr>
          <w:cantSplit/>
        </w:trPr>
        <w:tc>
          <w:tcPr>
            <w:tcW w:w="7026" w:type="dxa"/>
          </w:tcPr>
          <w:p>
            <w:pPr>
              <w:spacing w:after="0" w:line="240" w:lineRule="auto"/>
            </w:pPr>
            <w:r>
              <w:rPr>
                <w:sz w:val="20"/>
                <w:szCs w:val="20"/>
              </w:rPr>
              <w:t xml:space="preserve">Trinity Staff (Trinity Staff)</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Visitor (Trinity Visitor)</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- 802.11R (Trinity Wireless)</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eduroam 2026 (eduroam)</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v2300 (Trinity Wireless, 2300)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eduroam v2900 (eduroam, 2900)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Trinity Visitor v2900 (Trinity Visitor, 2900)</w:t>
            </w:r>
          </w:p>
        </w:tc>
        <w:tc>
          <w:tcPr>
            <w:tcW w:w="2000" w:type="dxa"/>
          </w:tcPr>
          <w:p>
            <w:pPr>
              <w:spacing w:after="0" w:line="240" w:lineRule="auto"/>
            </w:pPr>
            <w:r>
              <w:rPr>
                <w:sz w:val="20"/>
                <w:szCs w:val="20"/>
              </w:rPr>
              <w:t xml:space="preserve">Add</w:t>
            </w:r>
          </w:p>
        </w:tc>
      </w:tr>
    </w:tbl>
    <w:p>
      <w:pPr>
        <w:spacing w:after="80"/>
      </w:pPr>
    </w:p>
    <w:p>
      <w:r>
        <w:t xml:space="preserve">VLAN 2300 is already tagged on the AP ports, and Trinity NetSegPilot already carries traffic on it. VLAN 2900 is not, so it is added as a tagged VLAN on the 40 AP ports (lv3 1/1/1 to 1/1/11, lv4 1/1/1 to 1/1/11, lv6 1/1/13 to 1/1/29 and LT2-1 1/1/1) as part of the switch changes, before the WLAN group is changed. This only adds tagging and has no impact on the APs or their current SSIDs.</w:t>
      </w:r>
    </w:p>
    <w:p>
      <w:pPr>
        <w:keepNext/>
        <w:spacing w:before="240" w:after="120"/>
      </w:pPr>
      <w:r>
        <w:rPr>
          <w:b/>
          <w:bCs/>
        </w:rPr>
        <w:t xml:space="preserve">Impact</w:t>
      </w:r>
    </w:p>
    <w:p>
      <w:pPr>
        <w:pStyle w:val="ListParagraph"/>
        <w:numPr>
          <w:ilvl w:val="0"/>
          <w:numId w:val="1"/>
        </w:numPr>
        <w:spacing w:after="60"/>
      </w:pPr>
      <w:r>
        <w:t xml:space="preserve">Each switch is reloaded once for the system-max change, before the cutover. Everything on a switch is offline for a few minutes while it restarts. Reloading LT2-1 also drops LT2-2 and LT2-3, and reloading trinity200V-core drops all of 200V</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Wi-Fi users at 200V drop and reconnect when the 200v WLAN group is changed; the Trinity Staff SSID is removed from the 200V APs (no clients on 6 October 2026)</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 Each switch reload for the system-max change takes a few minutes and happens once, before the cutover on that switch.</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On lv3, lv4, lv6 and LT2-1 the file also adds VLAN 2900 to the AP ports (see Wi-Fi). Before the cutover, the system-max change (system-max-spanning-tree-40-ICX.txt) is made and each switch reloaded.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6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2300, 2510, 2600, 2700, 2800 and 2900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WLANs Trinity Wireless v2300, eduroam v2900 and Trinity Visitor v2900 exist in SmartZone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Current 200v WLAN group recorded (WLANs and any VLAN overrides) for rollback</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r>
        <w:t xml:space="preserve">The system-max change has its own rollback block for each switch in system-max-spanning-tree-40-ICX.txt; it also needs a reload to take effect. The Wi-Fi change is rolled back in SmartZone by removing the three new WLANs from the 200v WLAN group and adding the four removed WLANs back with their recorded settings. The VLAN 2900 tagging on the AP ports can stay in place; it has no effect until an SSID uses it.</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 plus VLAN 2900 on the AP ports</w:t>
      </w:r>
    </w:p>
    <w:p>
      <w:pPr>
        <w:pStyle w:val="ListParagraph"/>
        <w:numPr>
          <w:ilvl w:val="0"/>
          <w:numId w:val="1"/>
        </w:numPr>
        <w:spacing w:after="60"/>
      </w:pPr>
      <w:r>
        <w:t xml:space="preserve">show mac-address vlan &lt;new VLAN&gt; lists the device's MAC on that port</w:t>
      </w:r>
    </w:p>
    <w:p>
      <w:r>
        <w:t xml:space="preserve">For Wi-Fi, after the WLAN group change a test client on each SSID connects and gets an address on its subnet: Trinity Wireless and Trinity NetSegPilot on 10.21.8.0/21 (VLAN 2300), Trinity Visitor and eduroam on 10.21.29.0/24 (VLAN 2900).</w:t>
      </w:r>
    </w:p>
    <w:p>
      <w:r>
        <w:t xml:space="preserve">The change is complete when every device in Appendix A passes, the Wi-Fi test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after the other switches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VLAN 2900 is missing on an AP port, then Trinity Visitor and eduroam clients on that AP get no address. This has low likelihood because VLAN 2900 is added to all 40 AP ports and checked with show vlan 2900 before the WLAN changeover. If this risk occurs, VLAN 2900 is tagged on that port.</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 The 200v WLAN group change in SmartZone follows the switch changes in the same window.</w:t>
      </w:r>
    </w:p>
    <w:p>
      <w:r>
        <w:t xml:space="preserve">Note: the pilot (60 ports on lv3, lv4 and lv6) was completed and verified on Monday 5 October 2026.</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