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and old trunk (tagged) VLANs are removed from access ports where Trinity asked. 260 ports are in this change now; 7 wait for Trinity's answers to the review email of 21 October (see Prerequisites).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1083"/>
        <w:gridCol w:w="1083"/>
        <w:gridCol w:w="1083"/>
        <w:gridCol w:w="2709"/>
      </w:tblGrid>
      <w:tr>
        <w:trPr>
          <w:cantSplit/>
          <w:tblHeader/>
        </w:trPr>
        <w:tc>
          <w:tcPr>
            <w:tcW w:w="3068" w:type="dxa"/>
            <w:shd w:val="clear" w:color="auto" w:fill="D9D9D9"/>
          </w:tcPr>
          <w:p>
            <w:pPr>
              <w:spacing w:after="0" w:line="240" w:lineRule="auto"/>
            </w:pPr>
            <w:r>
              <w:rPr>
                <w:b/>
                <w:bCs/>
                <w:sz w:val="20"/>
                <w:szCs w:val="20"/>
              </w:rPr>
              <w:t xml:space="preserve">Switch</w:t>
            </w:r>
          </w:p>
        </w:tc>
        <w:tc>
          <w:tcPr>
            <w:tcW w:w="1083" w:type="dxa"/>
            <w:shd w:val="clear" w:color="auto" w:fill="D9D9D9"/>
          </w:tcPr>
          <w:p>
            <w:pPr>
              <w:spacing w:after="0" w:line="240" w:lineRule="auto"/>
            </w:pPr>
            <w:r>
              <w:rPr>
                <w:b/>
                <w:bCs/>
                <w:sz w:val="20"/>
                <w:szCs w:val="20"/>
              </w:rPr>
              <w:t xml:space="preserve">To 2100</w:t>
            </w:r>
          </w:p>
        </w:tc>
        <w:tc>
          <w:tcPr>
            <w:tcW w:w="1083" w:type="dxa"/>
            <w:shd w:val="clear" w:color="auto" w:fill="D9D9D9"/>
          </w:tcPr>
          <w:p>
            <w:pPr>
              <w:spacing w:after="0" w:line="240" w:lineRule="auto"/>
            </w:pPr>
            <w:r>
              <w:rPr>
                <w:b/>
                <w:bCs/>
                <w:sz w:val="20"/>
                <w:szCs w:val="20"/>
              </w:rPr>
              <w:t xml:space="preserve">To 2100, tags off</w:t>
            </w:r>
          </w:p>
        </w:tc>
        <w:tc>
          <w:tcPr>
            <w:tcW w:w="1083" w:type="dxa"/>
            <w:shd w:val="clear" w:color="auto" w:fill="D9D9D9"/>
          </w:tcPr>
          <w:p>
            <w:pPr>
              <w:spacing w:after="0" w:line="240" w:lineRule="auto"/>
            </w:pPr>
            <w:r>
              <w:rPr>
                <w:b/>
                <w:bCs/>
                <w:sz w:val="20"/>
                <w:szCs w:val="20"/>
              </w:rPr>
              <w:t xml:space="preserve">To VLAN 1</w:t>
            </w:r>
          </w:p>
        </w:tc>
        <w:tc>
          <w:tcPr>
            <w:tcW w:w="2709" w:type="dxa"/>
            <w:shd w:val="clear" w:color="auto" w:fill="D9D9D9"/>
          </w:tcPr>
          <w:p>
            <w:pPr>
              <w:spacing w:after="0" w:line="240" w:lineRule="auto"/>
            </w:pPr>
            <w:r>
              <w:rPr>
                <w:b/>
                <w:bCs/>
                <w:sz w:val="20"/>
                <w:szCs w:val="20"/>
              </w:rPr>
              <w:t xml:space="preserve">To VLAN 1, tags off</w:t>
            </w:r>
          </w:p>
        </w:tc>
      </w:tr>
      <w:tr>
        <w:trPr>
          <w:cantSplit/>
        </w:trPr>
        <w:tc>
          <w:tcPr>
            <w:tcW w:w="3068" w:type="dxa"/>
          </w:tcPr>
          <w:p>
            <w:pPr>
              <w:spacing w:after="0" w:line="240" w:lineRule="auto"/>
            </w:pPr>
            <w:r>
              <w:rPr>
                <w:sz w:val="20"/>
                <w:szCs w:val="20"/>
              </w:rPr>
              <w:t xml:space="preserve">switch-200V-stack-lv3</w:t>
            </w:r>
          </w:p>
        </w:tc>
        <w:tc>
          <w:tcPr>
            <w:tcW w:w="1083" w:type="dxa"/>
          </w:tcPr>
          <w:p>
            <w:pPr>
              <w:spacing w:after="0" w:line="240" w:lineRule="auto"/>
            </w:pPr>
            <w:r>
              <w:rPr>
                <w:sz w:val="20"/>
                <w:szCs w:val="20"/>
              </w:rPr>
              <w:t xml:space="preserve">15</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15</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switch-200V-stack-lv4</w:t>
            </w:r>
          </w:p>
        </w:tc>
        <w:tc>
          <w:tcPr>
            <w:tcW w:w="1083" w:type="dxa"/>
          </w:tcPr>
          <w:p>
            <w:pPr>
              <w:spacing w:after="0" w:line="240" w:lineRule="auto"/>
            </w:pPr>
            <w:r>
              <w:rPr>
                <w:sz w:val="20"/>
                <w:szCs w:val="20"/>
              </w:rPr>
              <w:t xml:space="preserve">21</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30</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switch-200V-stack-lv6</w:t>
            </w:r>
          </w:p>
        </w:tc>
        <w:tc>
          <w:tcPr>
            <w:tcW w:w="1083" w:type="dxa"/>
          </w:tcPr>
          <w:p>
            <w:pPr>
              <w:spacing w:after="0" w:line="240" w:lineRule="auto"/>
            </w:pPr>
            <w:r>
              <w:rPr>
                <w:sz w:val="20"/>
                <w:szCs w:val="20"/>
              </w:rPr>
              <w:t xml:space="preserve">116</w:t>
            </w:r>
          </w:p>
        </w:tc>
        <w:tc>
          <w:tcPr>
            <w:tcW w:w="1083" w:type="dxa"/>
          </w:tcPr>
          <w:p>
            <w:pPr>
              <w:spacing w:after="0" w:line="240" w:lineRule="auto"/>
            </w:pPr>
            <w:r>
              <w:rPr>
                <w:sz w:val="20"/>
                <w:szCs w:val="20"/>
              </w:rPr>
              <w:t xml:space="preserve">19</w:t>
            </w:r>
          </w:p>
        </w:tc>
        <w:tc>
          <w:tcPr>
            <w:tcW w:w="1083" w:type="dxa"/>
          </w:tcPr>
          <w:p>
            <w:pPr>
              <w:spacing w:after="0" w:line="240" w:lineRule="auto"/>
            </w:pPr>
            <w:r>
              <w:rPr>
                <w:sz w:val="20"/>
                <w:szCs w:val="20"/>
              </w:rPr>
              <w:t xml:space="preserve">7</w:t>
            </w:r>
          </w:p>
        </w:tc>
        <w:tc>
          <w:tcPr>
            <w:tcW w:w="2709" w:type="dxa"/>
          </w:tcPr>
          <w:p>
            <w:pPr>
              <w:spacing w:after="0" w:line="240" w:lineRule="auto"/>
            </w:pPr>
            <w:r>
              <w:rPr>
                <w:sz w:val="20"/>
                <w:szCs w:val="20"/>
              </w:rPr>
              <w:t xml:space="preserve">2</w:t>
            </w:r>
          </w:p>
        </w:tc>
      </w:tr>
      <w:tr>
        <w:trPr>
          <w:cantSplit/>
        </w:trPr>
        <w:tc>
          <w:tcPr>
            <w:tcW w:w="3068" w:type="dxa"/>
          </w:tcPr>
          <w:p>
            <w:pPr>
              <w:spacing w:after="0" w:line="240" w:lineRule="auto"/>
            </w:pPr>
            <w:r>
              <w:rPr>
                <w:sz w:val="20"/>
                <w:szCs w:val="20"/>
              </w:rPr>
              <w:t xml:space="preserve">switch-200V-LT2-1</w:t>
            </w:r>
          </w:p>
        </w:tc>
        <w:tc>
          <w:tcPr>
            <w:tcW w:w="1083" w:type="dxa"/>
          </w:tcPr>
          <w:p>
            <w:pPr>
              <w:spacing w:after="0" w:line="240" w:lineRule="auto"/>
            </w:pPr>
            <w:r>
              <w:rPr>
                <w:sz w:val="20"/>
                <w:szCs w:val="20"/>
              </w:rPr>
              <w:t xml:space="preserve">1</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3</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switch-200V-LT2-2</w:t>
            </w:r>
          </w:p>
        </w:tc>
        <w:tc>
          <w:tcPr>
            <w:tcW w:w="1083" w:type="dxa"/>
          </w:tcPr>
          <w:p>
            <w:pPr>
              <w:spacing w:after="0" w:line="240" w:lineRule="auto"/>
            </w:pPr>
            <w:r>
              <w:rPr>
                <w:sz w:val="20"/>
                <w:szCs w:val="20"/>
              </w:rPr>
              <w:t xml:space="preserve">10</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switch-200V-LT2-3</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switch-200V-Tutorial-6.03</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switch-200V-8</w:t>
            </w:r>
          </w:p>
        </w:tc>
        <w:tc>
          <w:tcPr>
            <w:tcW w:w="1083" w:type="dxa"/>
          </w:tcPr>
          <w:p>
            <w:pPr>
              <w:spacing w:after="0" w:line="240" w:lineRule="auto"/>
            </w:pPr>
            <w:r>
              <w:rPr>
                <w:sz w:val="20"/>
                <w:szCs w:val="20"/>
              </w:rPr>
              <w:t xml:space="preserve">7</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Total</w:t>
            </w:r>
          </w:p>
        </w:tc>
        <w:tc>
          <w:tcPr>
            <w:tcW w:w="1083" w:type="dxa"/>
          </w:tcPr>
          <w:p>
            <w:pPr>
              <w:spacing w:after="0" w:line="240" w:lineRule="auto"/>
            </w:pPr>
            <w:r>
              <w:rPr>
                <w:sz w:val="20"/>
                <w:szCs w:val="20"/>
              </w:rPr>
              <w:t xml:space="preserve">170</w:t>
            </w:r>
          </w:p>
        </w:tc>
        <w:tc>
          <w:tcPr>
            <w:tcW w:w="1083" w:type="dxa"/>
          </w:tcPr>
          <w:p>
            <w:pPr>
              <w:spacing w:after="0" w:line="240" w:lineRule="auto"/>
            </w:pPr>
            <w:r>
              <w:rPr>
                <w:sz w:val="20"/>
                <w:szCs w:val="20"/>
              </w:rPr>
              <w:t xml:space="preserve">29</w:t>
            </w:r>
          </w:p>
        </w:tc>
        <w:tc>
          <w:tcPr>
            <w:tcW w:w="1083" w:type="dxa"/>
          </w:tcPr>
          <w:p>
            <w:pPr>
              <w:spacing w:after="0" w:line="240" w:lineRule="auto"/>
            </w:pPr>
            <w:r>
              <w:rPr>
                <w:sz w:val="20"/>
                <w:szCs w:val="20"/>
              </w:rPr>
              <w:t xml:space="preserve">56</w:t>
            </w:r>
          </w:p>
        </w:tc>
        <w:tc>
          <w:tcPr>
            <w:tcW w:w="2709" w:type="dxa"/>
          </w:tcPr>
          <w:p>
            <w:pPr>
              <w:spacing w:after="0" w:line="240" w:lineRule="auto"/>
            </w:pPr>
            <w:r>
              <w:rPr>
                <w:sz w:val="20"/>
                <w:szCs w:val="20"/>
              </w:rPr>
              <w:t xml:space="preserve">5</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 pending blocks; optional port shutdown)</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238 of the 260 ports were down on 16 October: no impact; a device plugged in later comes up on the new VLAN</w:t>
      </w:r>
    </w:p>
    <w:p>
      <w:pPr>
        <w:pStyle w:val="ListParagraph"/>
        <w:numPr>
          <w:ilvl w:val="0"/>
          <w:numId w:val="1"/>
        </w:numPr>
        <w:spacing w:after="60"/>
      </w:pPr>
      <w:r>
        <w:t xml:space="preserve">22 ports were up, with staff devices on 1240 (10.9.9.x). Each loses its connection for about 30 seconds while the port is bounced, then gets a new address on 10.21.3.0/24 (VL-staff-wired-01)</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 Until the SRX allows the admin jump host and the SNMP server to reach 10.21.0.0/24 (see Prerequisites), they can only be reached through SmartZone or from trinity200V-core, and SNMP monitoring of them stops</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 and that Trinity's answers for the pending ports are recorded.</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When Trinity have answered, paste the PENDING blocks with the option Trinity chose, verify and 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Item 1: lv3 2/1/27, lv4 4/1/32 and lv4 5/1/19 have the last three 20:7B:D2 devices on them (seen 14 - 15 October). Trinity marked them default VLAN; Dycom proposes 2100 like the other 13 (decision of 9 October)</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Item 2: switch-200V-8 1/1/7 - 1/1/9 (00:09:F5, same vendor as lv3/lv4 1/1/48 now on 2000). Trinity to confirm the device type, VLAN 2000 or 2100, and whether they have fixed addresses</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Item 3: LT2-2 1/1/1 is not the LT2-2 uplink (that is 1/1/12); Trinity to confirm no switch is to be connected before its trunk VLANs are removed</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Trinity to say whether ports moved to VLAN 1 should also be disabled (optional block in the file)</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Part B: SRX policy to allow the admin jump host (10.128.132.10) to reach 10.21.0.0/24 by SSH/telnet, and SNMP between 10.21.0.0/24 and 10.128.240.12. Not in the Sparx policy report; without it the switches are managed through SmartZone or from the core only</w:t>
            </w:r>
          </w:p>
        </w:tc>
        <w:tc>
          <w:tcPr>
            <w:tcW w:w="2000" w:type="dxa"/>
          </w:tcPr>
          <w:p>
            <w:pPr>
              <w:spacing w:after="0" w:line="240" w:lineRule="auto"/>
            </w:pPr>
            <w:r>
              <w:rPr>
                <w:sz w:val="20"/>
                <w:szCs w:val="20"/>
              </w:rPr>
              <w:t xml:space="preserve">Pending decision</w:t>
            </w:r>
          </w:p>
        </w:tc>
      </w:tr>
      <w:tr>
        <w:trPr>
          <w:cantSplit/>
        </w:trPr>
        <w:tc>
          <w:tcPr>
            <w:tcW w:w="7026" w:type="dxa"/>
          </w:tcPr>
          <w:p>
            <w:pPr>
              <w:spacing w:after="0" w:line="240" w:lineRule="auto"/>
            </w:pPr>
            <w:r>
              <w:rPr>
                <w:sz w:val="20"/>
                <w:szCs w:val="20"/>
              </w:rPr>
              <w:t xml:space="preserve">Part B: ntp1.trinity.unimelb.edu.au resolves to one of the NTP servers the SRX allows for 10.21.0.0/24</w:t>
            </w:r>
          </w:p>
        </w:tc>
        <w:tc>
          <w:tcPr>
            <w:tcW w:w="2000" w:type="dxa"/>
          </w:tcPr>
          <w:p>
            <w:pPr>
              <w:spacing w:after="0" w:line="240" w:lineRule="auto"/>
            </w:pPr>
            <w:r>
              <w:rPr>
                <w:sz w:val="20"/>
                <w:szCs w:val="20"/>
              </w:rPr>
              <w:t xml:space="preserve">Pending check</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SRX allows 10.21.0.0/24 to SmartZone (192.168.245.0/24, 192.168.81.0/24), SmartZone back to it, DNS 10.128.128.31/.60 and the Internet (Sparx policy report)</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if the SRX does not allow the admin jump host and SNMP server to 10.21.0.0/24, then direct SSH and SNMP monitoring stop. This is likely until a policy is added. If this risk occurs, manage the switches through SmartZone or from trinity200V-core.</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Early morning or after hours, about 1 hour, once Trinity have approved the change and answered items 1 to 3. The ports that are down can be done at any time. Part B can be done in business hours (no user impact) once the DHCP exclusion is confirmed and the SRX access decision is made.</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Ports marked pending are not changed until Trinity confirm.</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20:7B:D2:30:98:C1 (200V3J14) seen 15 Oct; Trinity said default VLAN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20:7B:D2:30:99:15 (200V4H9) seen 14 Oct; Trinity said default VLAN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20:7B:D2:30:99:25 (200V4I17) seen 14 Oct; Trinity said default VLAN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 2000, 2010, 2020, 2100, 2200, 2300, 2310, 2320, 2400, 2500, 2510, 2520, 2530, 2600, 2700, 2800, 2810, 2900, 2950, 2951, 2952, 2953]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Pending: item 3: not the LT2-2 uplink (1/1/12); confirm no switch is to be connected</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00:09:F5:32:DB:15 (10.9.9.97),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00:09:F5:32:DB:D1 (10.9.9.96),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00:09:F5:32:DB:14 (10.9.9.95),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