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Only once remote access is restored</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(200V_w_wifi)</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 and others)</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The full device list is in Appendix A. Device addressing, DHCP, DNS, firewall rules and any device-side changes are outside the scope of this change. switch-200V-8, LT2-2 and LT2-3 have no listed devices and are not changed. Ports with no listed device, and devices not found on any switch, are tracked on the Review tab of 200V Device Port List.xlsx and are not part of this change.</w:t>
      </w:r>
    </w:p>
    <w:p>
      <w:pPr>
        <w:keepNext/>
        <w:spacing w:before="240" w:after="120"/>
      </w:pPr>
      <w:r>
        <w:rPr>
          <w:b/>
          <w:bCs/>
        </w:rPr>
        <w:t xml:space="preserve">Impact</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on the five switches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w:t>
      </w:r>
    </w:p>
    <w:p>
      <w:pPr>
        <w:keepNext/>
        <w:spacing w:before="240" w:after="120"/>
      </w:pPr>
      <w:r>
        <w:rPr>
          <w:b/>
          <w:bCs/>
        </w:rPr>
        <w:t xml:space="preserve">How Change implemented</w:t>
      </w:r>
    </w:p>
    <w:p>
      <w:r>
        <w:t xml:space="preserve">The change will be implemented by Alam Singh (Dycom) over SSH to each switch,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6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2510, 2600, 2700 and 2800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New VLANs tagged on LT2-1 1/1/23 and 1/1/24 (trunks to LT2-2 and LT2-3)</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Running-config backup of each switch taken and stored off the switch</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Remote access to switch-200V-Tutorial-6.03 restored</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w:t>
      </w:r>
    </w:p>
    <w:p>
      <w:pPr>
        <w:pStyle w:val="ListParagraph"/>
        <w:numPr>
          <w:ilvl w:val="0"/>
          <w:numId w:val="1"/>
        </w:numPr>
        <w:spacing w:after="60"/>
      </w:pPr>
      <w:r>
        <w:t xml:space="preserve">show mac-address vlan &lt;new VLAN&gt; lists the device's MAC on that port</w:t>
      </w:r>
    </w:p>
    <w:p>
      <w:r>
        <w:t xml:space="preserve">The change is complete when every device in Appendix A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last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To be agreed with Trinity. Each switch can be done in its own window; lv6, with 145 ports, should have a window of its own. The system-max change, which needs a reload of each switch, should be scheduled before the cutover.</w:t>
      </w:r>
    </w:p>
    <w:p>
      <w:r>
        <w:t xml:space="preserve">Note: the pilot (60 ports on lv3, lv4 and lv6) was completed and verified on Monday 5 October 2026.</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